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C62D" w14:textId="177D3B0F" w:rsidR="004B1E18" w:rsidRDefault="00F96CE9" w:rsidP="004B1E18">
      <w:pPr>
        <w:pStyle w:val="Header"/>
        <w:rPr>
          <w:rFonts w:ascii="Arial Bold" w:hAnsi="Arial Bold" w:cs="Arial"/>
          <w:b/>
          <w:color w:val="1BA3B1"/>
          <w:sz w:val="28"/>
          <w:szCs w:val="28"/>
        </w:rPr>
      </w:pPr>
      <w:r>
        <w:rPr>
          <w:noProof/>
        </w:rPr>
        <w:drawing>
          <wp:anchor distT="0" distB="0" distL="114300" distR="114300" simplePos="0" relativeHeight="251658240" behindDoc="1" locked="0" layoutInCell="1" allowOverlap="1" wp14:anchorId="3B473B07" wp14:editId="2D2D6BA1">
            <wp:simplePos x="0" y="0"/>
            <wp:positionH relativeFrom="column">
              <wp:posOffset>4544695</wp:posOffset>
            </wp:positionH>
            <wp:positionV relativeFrom="paragraph">
              <wp:posOffset>545</wp:posOffset>
            </wp:positionV>
            <wp:extent cx="1356360" cy="1384935"/>
            <wp:effectExtent l="0" t="0" r="0" b="5715"/>
            <wp:wrapTight wrapText="bothSides">
              <wp:wrapPolygon edited="0">
                <wp:start x="0" y="0"/>
                <wp:lineTo x="0" y="21392"/>
                <wp:lineTo x="21236" y="21392"/>
                <wp:lineTo x="21236"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1384935"/>
                    </a:xfrm>
                    <a:prstGeom prst="rect">
                      <a:avLst/>
                    </a:prstGeom>
                  </pic:spPr>
                </pic:pic>
              </a:graphicData>
            </a:graphic>
            <wp14:sizeRelH relativeFrom="margin">
              <wp14:pctWidth>0</wp14:pctWidth>
            </wp14:sizeRelH>
            <wp14:sizeRelV relativeFrom="margin">
              <wp14:pctHeight>0</wp14:pctHeight>
            </wp14:sizeRelV>
          </wp:anchor>
        </w:drawing>
      </w:r>
      <w:r w:rsidR="008E2CC6">
        <w:rPr>
          <w:rFonts w:ascii="Arial Bold" w:hAnsi="Arial Bold" w:cs="Arial"/>
          <w:b/>
          <w:color w:val="1BA3B1"/>
          <w:sz w:val="28"/>
          <w:szCs w:val="28"/>
        </w:rPr>
        <w:t xml:space="preserve">HERITAGE </w:t>
      </w:r>
      <w:r w:rsidR="00F46BC7" w:rsidRPr="00FB6CA4">
        <w:rPr>
          <w:rFonts w:ascii="Arial Bold" w:hAnsi="Arial Bold" w:cs="Arial"/>
          <w:b/>
          <w:color w:val="1BA3B1"/>
          <w:sz w:val="28"/>
          <w:szCs w:val="28"/>
        </w:rPr>
        <w:t xml:space="preserve">POLICY </w:t>
      </w:r>
      <w:r w:rsidR="008E2CC6" w:rsidRPr="00FB6CA4">
        <w:rPr>
          <w:rFonts w:ascii="Arial Bold" w:hAnsi="Arial Bold" w:cs="Arial"/>
          <w:b/>
          <w:color w:val="1BA3B1"/>
          <w:sz w:val="28"/>
          <w:szCs w:val="28"/>
        </w:rPr>
        <w:t>STATEMENT</w:t>
      </w:r>
      <w:r w:rsidR="00D70B23">
        <w:rPr>
          <w:rFonts w:ascii="Arial Bold" w:hAnsi="Arial Bold" w:cs="Arial"/>
          <w:b/>
          <w:color w:val="1BA3B1"/>
          <w:sz w:val="28"/>
          <w:szCs w:val="28"/>
        </w:rPr>
        <w:t xml:space="preserve"> </w:t>
      </w:r>
    </w:p>
    <w:p w14:paraId="680D950C" w14:textId="3020F73A" w:rsidR="00EA49BD" w:rsidRDefault="00EA49BD" w:rsidP="004B1E18">
      <w:pPr>
        <w:pStyle w:val="Header"/>
        <w:rPr>
          <w:rFonts w:ascii="Arial Bold" w:hAnsi="Arial Bold" w:cs="Arial"/>
          <w:b/>
          <w:color w:val="1BA3B1"/>
          <w:sz w:val="28"/>
          <w:szCs w:val="28"/>
        </w:rPr>
      </w:pPr>
      <w:r>
        <w:rPr>
          <w:rFonts w:ascii="Arial Bold" w:hAnsi="Arial Bold" w:cs="Arial"/>
          <w:b/>
          <w:color w:val="1BA3B1"/>
          <w:sz w:val="28"/>
          <w:szCs w:val="28"/>
        </w:rPr>
        <w:t xml:space="preserve">SECTION 73 APPLICATION </w:t>
      </w:r>
    </w:p>
    <w:p w14:paraId="3C5A858A" w14:textId="77777777" w:rsidR="00AC35D6" w:rsidRDefault="00AC35D6" w:rsidP="004B1E18">
      <w:pPr>
        <w:pStyle w:val="Header"/>
        <w:rPr>
          <w:rFonts w:ascii="Arial Bold" w:hAnsi="Arial Bold" w:cs="Arial"/>
          <w:b/>
          <w:color w:val="1BA3B1"/>
          <w:sz w:val="28"/>
          <w:szCs w:val="28"/>
        </w:rPr>
      </w:pPr>
    </w:p>
    <w:p w14:paraId="639F0F43" w14:textId="75D888A3" w:rsidR="00AC35D6" w:rsidRPr="004B1E18" w:rsidRDefault="00AC35D6" w:rsidP="004B1E18">
      <w:pPr>
        <w:pStyle w:val="Header"/>
        <w:rPr>
          <w:rFonts w:ascii="Arial Bold" w:hAnsi="Arial Bold" w:cs="Arial"/>
          <w:b/>
          <w:color w:val="1BA3B1"/>
          <w:sz w:val="28"/>
          <w:szCs w:val="28"/>
        </w:rPr>
      </w:pPr>
      <w:r>
        <w:rPr>
          <w:rFonts w:ascii="Arial Bold" w:hAnsi="Arial Bold" w:cs="Arial"/>
          <w:b/>
          <w:color w:val="1BA3B1"/>
          <w:sz w:val="28"/>
          <w:szCs w:val="28"/>
        </w:rPr>
        <w:t xml:space="preserve">Application Reference: </w:t>
      </w:r>
      <w:r w:rsidR="007A3059">
        <w:rPr>
          <w:rFonts w:ascii="Arial Bold" w:hAnsi="Arial Bold" w:cs="Arial"/>
          <w:b/>
          <w:color w:val="1BA3B1"/>
          <w:sz w:val="28"/>
          <w:szCs w:val="28"/>
        </w:rPr>
        <w:t>2022/1265/P</w:t>
      </w:r>
    </w:p>
    <w:p w14:paraId="1BDFF9E2" w14:textId="77777777" w:rsidR="004B1E18" w:rsidRDefault="004B1E18" w:rsidP="00424028">
      <w:pPr>
        <w:tabs>
          <w:tab w:val="left" w:pos="1440"/>
        </w:tabs>
        <w:spacing w:before="40" w:line="360" w:lineRule="auto"/>
        <w:rPr>
          <w:rFonts w:ascii="Arial" w:hAnsi="Arial" w:cs="Arial"/>
          <w:b/>
          <w:bCs/>
          <w:sz w:val="20"/>
          <w:szCs w:val="20"/>
        </w:rPr>
      </w:pPr>
    </w:p>
    <w:p w14:paraId="5F02370E" w14:textId="3741143F" w:rsidR="00AF31D9" w:rsidRPr="002802D2" w:rsidRDefault="003448EA" w:rsidP="00424028">
      <w:pPr>
        <w:tabs>
          <w:tab w:val="left" w:pos="1440"/>
        </w:tabs>
        <w:spacing w:before="40" w:line="360" w:lineRule="auto"/>
        <w:rPr>
          <w:rFonts w:ascii="Arial" w:hAnsi="Arial" w:cs="Arial"/>
          <w:bCs/>
          <w:sz w:val="20"/>
          <w:szCs w:val="20"/>
        </w:rPr>
      </w:pPr>
      <w:r>
        <w:rPr>
          <w:rFonts w:ascii="Arial" w:hAnsi="Arial" w:cs="Arial"/>
          <w:b/>
          <w:bCs/>
          <w:sz w:val="20"/>
          <w:szCs w:val="20"/>
        </w:rPr>
        <w:t>Job Name</w:t>
      </w:r>
      <w:r w:rsidR="00AF31D9" w:rsidRPr="002802D2">
        <w:rPr>
          <w:rFonts w:ascii="Arial" w:hAnsi="Arial" w:cs="Arial"/>
          <w:b/>
          <w:bCs/>
          <w:sz w:val="20"/>
          <w:szCs w:val="20"/>
        </w:rPr>
        <w:t>:</w:t>
      </w:r>
      <w:r w:rsidR="00AF31D9" w:rsidRPr="002802D2">
        <w:rPr>
          <w:rFonts w:ascii="Arial" w:hAnsi="Arial" w:cs="Arial"/>
          <w:bCs/>
          <w:sz w:val="20"/>
          <w:szCs w:val="20"/>
        </w:rPr>
        <w:tab/>
      </w:r>
      <w:bookmarkStart w:id="0" w:name="meeting_title"/>
      <w:bookmarkEnd w:id="0"/>
      <w:r w:rsidR="00AC35D6" w:rsidRPr="00AC35D6">
        <w:rPr>
          <w:rFonts w:ascii="Arial" w:hAnsi="Arial" w:cs="Arial"/>
          <w:bCs/>
          <w:sz w:val="20"/>
          <w:szCs w:val="20"/>
        </w:rPr>
        <w:t>15 Inglewood Road, London, NW6 1QT</w:t>
      </w:r>
    </w:p>
    <w:p w14:paraId="3355587D" w14:textId="2305D20A" w:rsidR="00AF31D9" w:rsidRPr="002802D2" w:rsidRDefault="003448EA" w:rsidP="00424028">
      <w:pPr>
        <w:tabs>
          <w:tab w:val="left" w:pos="1440"/>
        </w:tabs>
        <w:spacing w:before="40" w:line="360" w:lineRule="auto"/>
        <w:rPr>
          <w:rFonts w:ascii="Arial" w:hAnsi="Arial" w:cs="Arial"/>
          <w:bCs/>
          <w:sz w:val="20"/>
          <w:szCs w:val="20"/>
        </w:rPr>
      </w:pPr>
      <w:r>
        <w:rPr>
          <w:rFonts w:ascii="Arial" w:hAnsi="Arial" w:cs="Arial"/>
          <w:b/>
          <w:bCs/>
          <w:sz w:val="20"/>
          <w:szCs w:val="20"/>
        </w:rPr>
        <w:t>Date</w:t>
      </w:r>
      <w:r w:rsidR="00AF31D9" w:rsidRPr="002802D2">
        <w:rPr>
          <w:rFonts w:ascii="Arial" w:hAnsi="Arial" w:cs="Arial"/>
          <w:b/>
          <w:bCs/>
          <w:sz w:val="20"/>
          <w:szCs w:val="20"/>
        </w:rPr>
        <w:t>:</w:t>
      </w:r>
      <w:r w:rsidR="00AF31D9" w:rsidRPr="002802D2">
        <w:rPr>
          <w:rFonts w:ascii="Arial" w:hAnsi="Arial" w:cs="Arial"/>
          <w:bCs/>
          <w:sz w:val="20"/>
          <w:szCs w:val="20"/>
        </w:rPr>
        <w:tab/>
      </w:r>
      <w:bookmarkStart w:id="1" w:name="cc"/>
      <w:bookmarkEnd w:id="1"/>
      <w:r w:rsidR="005B78BB">
        <w:rPr>
          <w:rFonts w:ascii="Arial" w:hAnsi="Arial" w:cs="Arial"/>
          <w:bCs/>
          <w:sz w:val="20"/>
          <w:szCs w:val="20"/>
        </w:rPr>
        <w:t>June</w:t>
      </w:r>
      <w:r w:rsidR="00176AD8">
        <w:rPr>
          <w:rFonts w:ascii="Arial" w:hAnsi="Arial" w:cs="Arial"/>
          <w:bCs/>
          <w:sz w:val="20"/>
          <w:szCs w:val="20"/>
        </w:rPr>
        <w:t xml:space="preserve"> </w:t>
      </w:r>
      <w:r w:rsidR="009F4941">
        <w:rPr>
          <w:rFonts w:ascii="Arial" w:hAnsi="Arial" w:cs="Arial"/>
          <w:bCs/>
          <w:sz w:val="20"/>
          <w:szCs w:val="20"/>
        </w:rPr>
        <w:t>2024</w:t>
      </w:r>
    </w:p>
    <w:p w14:paraId="6C309424" w14:textId="38179208" w:rsidR="00AF31D9" w:rsidRPr="002802D2" w:rsidRDefault="003448EA" w:rsidP="00424028">
      <w:pPr>
        <w:tabs>
          <w:tab w:val="left" w:pos="1440"/>
        </w:tabs>
        <w:spacing w:before="40" w:line="360" w:lineRule="auto"/>
        <w:rPr>
          <w:rFonts w:ascii="Arial" w:hAnsi="Arial" w:cs="Arial"/>
          <w:bCs/>
          <w:sz w:val="20"/>
          <w:szCs w:val="20"/>
        </w:rPr>
      </w:pPr>
      <w:r>
        <w:rPr>
          <w:rFonts w:ascii="Arial" w:hAnsi="Arial" w:cs="Arial"/>
          <w:b/>
          <w:bCs/>
          <w:sz w:val="20"/>
          <w:szCs w:val="20"/>
        </w:rPr>
        <w:t>Prepared By</w:t>
      </w:r>
      <w:r w:rsidR="00AF31D9" w:rsidRPr="002802D2">
        <w:rPr>
          <w:rFonts w:ascii="Arial" w:hAnsi="Arial" w:cs="Arial"/>
          <w:b/>
          <w:bCs/>
          <w:sz w:val="20"/>
          <w:szCs w:val="20"/>
        </w:rPr>
        <w:t>:</w:t>
      </w:r>
      <w:r w:rsidR="00AF31D9" w:rsidRPr="002802D2">
        <w:rPr>
          <w:rFonts w:ascii="Arial" w:hAnsi="Arial" w:cs="Arial"/>
          <w:bCs/>
          <w:sz w:val="20"/>
          <w:szCs w:val="20"/>
        </w:rPr>
        <w:tab/>
      </w:r>
      <w:bookmarkStart w:id="2" w:name="date_of_meeting"/>
      <w:bookmarkEnd w:id="2"/>
      <w:r w:rsidR="00FA3D5A">
        <w:rPr>
          <w:rFonts w:ascii="Arial" w:hAnsi="Arial" w:cs="Arial"/>
          <w:bCs/>
          <w:sz w:val="20"/>
          <w:szCs w:val="20"/>
        </w:rPr>
        <w:t>Samuel Palmer</w:t>
      </w:r>
      <w:r w:rsidR="00CF6D18">
        <w:rPr>
          <w:rFonts w:ascii="Arial" w:hAnsi="Arial" w:cs="Arial"/>
          <w:bCs/>
          <w:sz w:val="20"/>
          <w:szCs w:val="20"/>
        </w:rPr>
        <w:t xml:space="preserve"> - Director</w:t>
      </w:r>
    </w:p>
    <w:p w14:paraId="1EB01607" w14:textId="0DDA5227" w:rsidR="0057261B" w:rsidRDefault="0057261B" w:rsidP="00424028">
      <w:pPr>
        <w:pBdr>
          <w:bottom w:val="single" w:sz="12" w:space="1" w:color="auto"/>
        </w:pBdr>
        <w:tabs>
          <w:tab w:val="left" w:pos="1440"/>
        </w:tabs>
        <w:spacing w:before="40" w:line="360" w:lineRule="auto"/>
        <w:rPr>
          <w:rFonts w:ascii="Arial" w:hAnsi="Arial" w:cs="Arial"/>
          <w:b/>
          <w:bCs/>
          <w:sz w:val="20"/>
          <w:szCs w:val="20"/>
        </w:rPr>
      </w:pPr>
    </w:p>
    <w:p w14:paraId="6449C236" w14:textId="77777777" w:rsidR="00AF31D9" w:rsidRDefault="00AF31D9" w:rsidP="00AF31D9">
      <w:pPr>
        <w:tabs>
          <w:tab w:val="left" w:pos="2340"/>
          <w:tab w:val="left" w:pos="4500"/>
          <w:tab w:val="left" w:pos="6300"/>
        </w:tabs>
        <w:rPr>
          <w:rFonts w:ascii="Arial" w:hAnsi="Arial" w:cs="Arial"/>
          <w:sz w:val="20"/>
          <w:szCs w:val="20"/>
        </w:rPr>
      </w:pPr>
    </w:p>
    <w:p w14:paraId="596B3057" w14:textId="18ADB728" w:rsidR="00191C24" w:rsidRDefault="004B1E18" w:rsidP="00782690">
      <w:pPr>
        <w:pStyle w:val="Chromasubheadingnumbered"/>
        <w:rPr>
          <w:rFonts w:ascii="HelveticaNeueLTStd-Lt" w:hAnsi="HelveticaNeueLTStd-Lt" w:cs="HelveticaNeueLTStd-Lt"/>
          <w:sz w:val="18"/>
          <w:szCs w:val="18"/>
          <w:lang w:eastAsia="en-GB"/>
        </w:rPr>
      </w:pPr>
      <w:r w:rsidRPr="004B1E18">
        <w:t>Introduction</w:t>
      </w:r>
      <w:r w:rsidR="00191C24">
        <w:rPr>
          <w:rFonts w:ascii="HelveticaNeueLTStd-Lt" w:hAnsi="HelveticaNeueLTStd-Lt" w:cs="HelveticaNeueLTStd-Lt"/>
          <w:sz w:val="18"/>
          <w:szCs w:val="18"/>
          <w:lang w:eastAsia="en-GB"/>
        </w:rPr>
        <w:t xml:space="preserve"> </w:t>
      </w:r>
    </w:p>
    <w:p w14:paraId="0D53A556" w14:textId="2933E3C3" w:rsidR="00F60091" w:rsidRPr="00635CD3" w:rsidRDefault="00093434" w:rsidP="003F0F60">
      <w:pPr>
        <w:pStyle w:val="ListParagraph"/>
        <w:numPr>
          <w:ilvl w:val="1"/>
          <w:numId w:val="7"/>
        </w:numPr>
        <w:autoSpaceDE w:val="0"/>
        <w:autoSpaceDN w:val="0"/>
        <w:adjustRightInd w:val="0"/>
        <w:ind w:left="567" w:right="274" w:hanging="567"/>
        <w:jc w:val="both"/>
        <w:rPr>
          <w:rFonts w:ascii="Arial" w:hAnsi="Arial" w:cs="Arial"/>
          <w:sz w:val="20"/>
          <w:szCs w:val="20"/>
          <w:lang w:eastAsia="en-GB"/>
        </w:rPr>
      </w:pPr>
      <w:r w:rsidRPr="00635CD3">
        <w:rPr>
          <w:rFonts w:ascii="Arial" w:hAnsi="Arial" w:cs="Arial"/>
          <w:sz w:val="20"/>
          <w:szCs w:val="20"/>
          <w:lang w:eastAsia="en-GB"/>
        </w:rPr>
        <w:t>Th</w:t>
      </w:r>
      <w:r w:rsidR="004728C0" w:rsidRPr="00635CD3">
        <w:rPr>
          <w:rFonts w:ascii="Arial" w:hAnsi="Arial" w:cs="Arial"/>
          <w:sz w:val="20"/>
          <w:szCs w:val="20"/>
          <w:lang w:eastAsia="en-GB"/>
        </w:rPr>
        <w:t xml:space="preserve">is </w:t>
      </w:r>
      <w:r w:rsidR="004728C0" w:rsidRPr="00300A90">
        <w:rPr>
          <w:rFonts w:ascii="Arial" w:hAnsi="Arial" w:cs="Arial"/>
          <w:sz w:val="20"/>
          <w:szCs w:val="20"/>
          <w:lang w:eastAsia="en-GB"/>
        </w:rPr>
        <w:t xml:space="preserve">statement has been produced by Chroma Planning and Development </w:t>
      </w:r>
      <w:r w:rsidR="00517296" w:rsidRPr="00300A90">
        <w:rPr>
          <w:rFonts w:ascii="Arial" w:hAnsi="Arial" w:cs="Arial"/>
          <w:sz w:val="20"/>
          <w:szCs w:val="20"/>
          <w:lang w:eastAsia="en-GB"/>
        </w:rPr>
        <w:t>to</w:t>
      </w:r>
      <w:r w:rsidR="00517296" w:rsidRPr="00635CD3">
        <w:rPr>
          <w:rFonts w:ascii="Arial" w:hAnsi="Arial" w:cs="Arial"/>
          <w:sz w:val="20"/>
          <w:szCs w:val="20"/>
          <w:lang w:eastAsia="en-GB"/>
        </w:rPr>
        <w:t xml:space="preserve"> support</w:t>
      </w:r>
      <w:r w:rsidR="006978E5">
        <w:rPr>
          <w:rFonts w:ascii="Arial" w:hAnsi="Arial" w:cs="Arial"/>
          <w:sz w:val="20"/>
          <w:szCs w:val="20"/>
          <w:lang w:eastAsia="en-GB"/>
        </w:rPr>
        <w:t xml:space="preserve"> a</w:t>
      </w:r>
      <w:r w:rsidR="00C02F6D">
        <w:rPr>
          <w:rFonts w:ascii="Arial" w:hAnsi="Arial" w:cs="Arial"/>
          <w:sz w:val="20"/>
          <w:szCs w:val="20"/>
          <w:lang w:eastAsia="en-GB"/>
        </w:rPr>
        <w:t xml:space="preserve"> minor material amendment Section 73</w:t>
      </w:r>
      <w:r w:rsidR="00517296" w:rsidRPr="00635CD3">
        <w:rPr>
          <w:rFonts w:ascii="Arial" w:hAnsi="Arial" w:cs="Arial"/>
          <w:sz w:val="20"/>
          <w:szCs w:val="20"/>
          <w:lang w:eastAsia="en-GB"/>
        </w:rPr>
        <w:t xml:space="preserve"> application</w:t>
      </w:r>
      <w:r w:rsidR="00582AB5">
        <w:rPr>
          <w:rFonts w:ascii="Arial" w:hAnsi="Arial" w:cs="Arial"/>
          <w:sz w:val="20"/>
          <w:szCs w:val="20"/>
          <w:lang w:eastAsia="en-GB"/>
        </w:rPr>
        <w:t xml:space="preserve"> </w:t>
      </w:r>
      <w:r w:rsidR="0087101C" w:rsidRPr="0087101C">
        <w:rPr>
          <w:rFonts w:ascii="Arial" w:hAnsi="Arial" w:cs="Arial"/>
          <w:sz w:val="20"/>
          <w:szCs w:val="20"/>
          <w:lang w:eastAsia="en-GB"/>
        </w:rPr>
        <w:t xml:space="preserve">for proposed amendments to planning permission 2022/1265/P (the </w:t>
      </w:r>
      <w:r w:rsidR="0087101C" w:rsidRPr="0087101C">
        <w:rPr>
          <w:rFonts w:ascii="Arial" w:hAnsi="Arial" w:cs="Arial"/>
          <w:b/>
          <w:bCs/>
          <w:sz w:val="20"/>
          <w:szCs w:val="20"/>
          <w:lang w:eastAsia="en-GB"/>
        </w:rPr>
        <w:t>Original Permission</w:t>
      </w:r>
      <w:r w:rsidR="0087101C" w:rsidRPr="0087101C">
        <w:rPr>
          <w:rFonts w:ascii="Arial" w:hAnsi="Arial" w:cs="Arial"/>
          <w:sz w:val="20"/>
          <w:szCs w:val="20"/>
          <w:lang w:eastAsia="en-GB"/>
        </w:rPr>
        <w:t xml:space="preserve">) at 15 Inglewood Road, London, NW6 1QT (herein referred to as the </w:t>
      </w:r>
      <w:r w:rsidR="0087101C" w:rsidRPr="0087101C">
        <w:rPr>
          <w:rFonts w:ascii="Arial" w:hAnsi="Arial" w:cs="Arial"/>
          <w:b/>
          <w:bCs/>
          <w:sz w:val="20"/>
          <w:szCs w:val="20"/>
          <w:lang w:eastAsia="en-GB"/>
        </w:rPr>
        <w:t>Site</w:t>
      </w:r>
      <w:r w:rsidR="0087101C" w:rsidRPr="0087101C">
        <w:rPr>
          <w:rFonts w:ascii="Arial" w:hAnsi="Arial" w:cs="Arial"/>
          <w:sz w:val="20"/>
          <w:szCs w:val="20"/>
          <w:lang w:eastAsia="en-GB"/>
        </w:rPr>
        <w:t xml:space="preserve"> or the </w:t>
      </w:r>
      <w:r w:rsidR="0087101C" w:rsidRPr="0087101C">
        <w:rPr>
          <w:rFonts w:ascii="Arial" w:hAnsi="Arial" w:cs="Arial"/>
          <w:b/>
          <w:bCs/>
          <w:sz w:val="20"/>
          <w:szCs w:val="20"/>
          <w:lang w:eastAsia="en-GB"/>
        </w:rPr>
        <w:t>Property</w:t>
      </w:r>
      <w:r w:rsidR="0087101C" w:rsidRPr="0087101C">
        <w:rPr>
          <w:rFonts w:ascii="Arial" w:hAnsi="Arial" w:cs="Arial"/>
          <w:sz w:val="20"/>
          <w:szCs w:val="20"/>
          <w:lang w:eastAsia="en-GB"/>
        </w:rPr>
        <w:t>).</w:t>
      </w:r>
    </w:p>
    <w:p w14:paraId="2C5388F9" w14:textId="77777777" w:rsidR="00D71CA2" w:rsidRPr="00635CD3" w:rsidRDefault="00D71CA2" w:rsidP="003F0F60">
      <w:pPr>
        <w:pStyle w:val="ListParagraph"/>
        <w:autoSpaceDE w:val="0"/>
        <w:autoSpaceDN w:val="0"/>
        <w:adjustRightInd w:val="0"/>
        <w:ind w:left="567" w:right="274" w:hanging="567"/>
        <w:jc w:val="both"/>
        <w:rPr>
          <w:rFonts w:ascii="Arial" w:hAnsi="Arial" w:cs="Arial"/>
          <w:sz w:val="20"/>
          <w:szCs w:val="20"/>
          <w:lang w:eastAsia="en-GB"/>
        </w:rPr>
      </w:pPr>
    </w:p>
    <w:p w14:paraId="35513A04" w14:textId="6078D2CE" w:rsidR="002C37B5" w:rsidRPr="00EB4ED7" w:rsidRDefault="00F60091" w:rsidP="00EA3956">
      <w:pPr>
        <w:pStyle w:val="ListParagraph"/>
        <w:numPr>
          <w:ilvl w:val="1"/>
          <w:numId w:val="7"/>
        </w:numPr>
        <w:autoSpaceDE w:val="0"/>
        <w:autoSpaceDN w:val="0"/>
        <w:adjustRightInd w:val="0"/>
        <w:ind w:left="567" w:right="274" w:hanging="567"/>
        <w:jc w:val="both"/>
        <w:rPr>
          <w:rFonts w:ascii="Arial" w:hAnsi="Arial" w:cs="Arial"/>
          <w:sz w:val="20"/>
          <w:szCs w:val="20"/>
          <w:lang w:eastAsia="en-GB"/>
        </w:rPr>
      </w:pPr>
      <w:r w:rsidRPr="00635CD3">
        <w:rPr>
          <w:rFonts w:ascii="Arial" w:hAnsi="Arial" w:cs="Arial"/>
          <w:sz w:val="20"/>
          <w:szCs w:val="20"/>
          <w:lang w:eastAsia="en-GB"/>
        </w:rPr>
        <w:t>The proposals</w:t>
      </w:r>
      <w:r w:rsidR="00DF5EF2" w:rsidRPr="00DF5EF2">
        <w:rPr>
          <w:rFonts w:ascii="Arial" w:hAnsi="Arial" w:cs="Arial"/>
          <w:sz w:val="20"/>
          <w:szCs w:val="20"/>
          <w:lang w:eastAsia="en-GB"/>
        </w:rPr>
        <w:t xml:space="preserve"> relate to </w:t>
      </w:r>
      <w:r w:rsidR="00A50383">
        <w:rPr>
          <w:rFonts w:ascii="Arial" w:hAnsi="Arial" w:cs="Arial"/>
          <w:sz w:val="20"/>
          <w:szCs w:val="20"/>
          <w:lang w:eastAsia="en-GB"/>
        </w:rPr>
        <w:t>t</w:t>
      </w:r>
      <w:r w:rsidR="00C946C2">
        <w:rPr>
          <w:rFonts w:ascii="Arial" w:hAnsi="Arial" w:cs="Arial"/>
          <w:sz w:val="20"/>
          <w:szCs w:val="20"/>
          <w:lang w:eastAsia="en-GB"/>
        </w:rPr>
        <w:t>he reconsideration of the design of the approved side infill extension</w:t>
      </w:r>
      <w:r w:rsidR="004E210A">
        <w:rPr>
          <w:rFonts w:ascii="Arial" w:hAnsi="Arial" w:cs="Arial"/>
          <w:sz w:val="20"/>
          <w:szCs w:val="20"/>
          <w:lang w:eastAsia="en-GB"/>
        </w:rPr>
        <w:t xml:space="preserve">. </w:t>
      </w:r>
      <w:r w:rsidR="00A50383">
        <w:rPr>
          <w:rFonts w:ascii="Arial" w:hAnsi="Arial" w:cs="Arial"/>
          <w:sz w:val="20"/>
          <w:szCs w:val="20"/>
          <w:lang w:eastAsia="en-GB"/>
        </w:rPr>
        <w:t xml:space="preserve"> </w:t>
      </w:r>
      <w:r w:rsidR="00E02B85">
        <w:rPr>
          <w:rFonts w:ascii="Arial" w:hAnsi="Arial" w:cs="Arial"/>
          <w:sz w:val="20"/>
          <w:szCs w:val="20"/>
          <w:lang w:eastAsia="en-GB"/>
        </w:rPr>
        <w:t xml:space="preserve"> </w:t>
      </w:r>
    </w:p>
    <w:p w14:paraId="252552BA" w14:textId="6CB36937" w:rsidR="005F78DC" w:rsidRPr="00635CD3" w:rsidRDefault="000D14B7" w:rsidP="00832C4C">
      <w:pPr>
        <w:pStyle w:val="Chromasubheadingnumbered"/>
        <w:rPr>
          <w:rFonts w:hint="eastAsia"/>
        </w:rPr>
      </w:pPr>
      <w:r w:rsidRPr="00635CD3">
        <w:t>Site and Surroundings</w:t>
      </w:r>
    </w:p>
    <w:p w14:paraId="4BBA361F" w14:textId="77777777" w:rsidR="009C1368" w:rsidRPr="009C1368" w:rsidRDefault="009C1368" w:rsidP="009C1368">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9C1368">
        <w:rPr>
          <w:rFonts w:ascii="Arial" w:hAnsi="Arial" w:cs="Arial"/>
          <w:sz w:val="20"/>
          <w:szCs w:val="20"/>
          <w:lang w:eastAsia="en-GB"/>
        </w:rPr>
        <w:t xml:space="preserve">The Site comprises an existing Victorian terraced residential property providing accommodation at basement, ground, first and second floor levels. </w:t>
      </w:r>
    </w:p>
    <w:p w14:paraId="54087D0C" w14:textId="77777777" w:rsidR="009A3D05" w:rsidRPr="005D6BAE" w:rsidRDefault="009A3D05" w:rsidP="005D6BAE">
      <w:pPr>
        <w:rPr>
          <w:rFonts w:ascii="Arial" w:hAnsi="Arial" w:cs="Arial"/>
          <w:sz w:val="20"/>
          <w:szCs w:val="20"/>
          <w:lang w:eastAsia="en-GB"/>
        </w:rPr>
      </w:pPr>
    </w:p>
    <w:p w14:paraId="756E24B7" w14:textId="77777777" w:rsidR="00D43D87" w:rsidRPr="00D43D87" w:rsidRDefault="00D43D87" w:rsidP="00D43D87">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D43D87">
        <w:rPr>
          <w:rFonts w:ascii="Arial" w:hAnsi="Arial" w:cs="Arial"/>
          <w:sz w:val="20"/>
          <w:szCs w:val="20"/>
          <w:lang w:eastAsia="en-GB"/>
        </w:rPr>
        <w:t>The Property is not listed but is located within the West End Green Conservation Area. Within the Conservation Area itself, the Property is identified as having a ‘positive contribution’.</w:t>
      </w:r>
    </w:p>
    <w:p w14:paraId="265A91AF" w14:textId="77777777" w:rsidR="004E0439" w:rsidRPr="004E0439" w:rsidRDefault="004E0439" w:rsidP="004E0439">
      <w:pPr>
        <w:autoSpaceDE w:val="0"/>
        <w:autoSpaceDN w:val="0"/>
        <w:adjustRightInd w:val="0"/>
        <w:ind w:right="274"/>
        <w:jc w:val="both"/>
        <w:rPr>
          <w:rFonts w:ascii="Arial" w:hAnsi="Arial" w:cs="Arial"/>
          <w:sz w:val="20"/>
          <w:szCs w:val="20"/>
          <w:lang w:eastAsia="en-GB"/>
        </w:rPr>
      </w:pPr>
    </w:p>
    <w:p w14:paraId="07E3E3D3" w14:textId="77777777" w:rsidR="00D36617" w:rsidRPr="00D36617" w:rsidRDefault="00D36617" w:rsidP="00D36617">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D36617">
        <w:rPr>
          <w:rFonts w:ascii="Arial" w:hAnsi="Arial" w:cs="Arial"/>
          <w:sz w:val="20"/>
          <w:szCs w:val="20"/>
          <w:lang w:eastAsia="en-GB"/>
        </w:rPr>
        <w:t xml:space="preserve">The layout and configuration of the property is consistent with the adjacent and surrounding residential properties. </w:t>
      </w:r>
    </w:p>
    <w:p w14:paraId="04F41F07" w14:textId="77777777" w:rsidR="004E0439" w:rsidRPr="004E0439" w:rsidRDefault="004E0439" w:rsidP="004E0439">
      <w:pPr>
        <w:autoSpaceDE w:val="0"/>
        <w:autoSpaceDN w:val="0"/>
        <w:adjustRightInd w:val="0"/>
        <w:ind w:right="274"/>
        <w:jc w:val="both"/>
        <w:rPr>
          <w:rFonts w:ascii="Arial" w:hAnsi="Arial" w:cs="Arial"/>
          <w:sz w:val="20"/>
          <w:szCs w:val="20"/>
          <w:lang w:eastAsia="en-GB"/>
        </w:rPr>
      </w:pPr>
    </w:p>
    <w:p w14:paraId="54C1731F" w14:textId="0B725F42" w:rsidR="00B07891" w:rsidRPr="004E0439" w:rsidRDefault="004E0439" w:rsidP="004E0439">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4E0439">
        <w:rPr>
          <w:rFonts w:ascii="Arial" w:hAnsi="Arial" w:cs="Arial"/>
          <w:sz w:val="20"/>
          <w:szCs w:val="20"/>
          <w:lang w:eastAsia="en-GB"/>
        </w:rPr>
        <w:t>Works to the rear of properties are characteristic of the immediate area and other properties have either received planning permission for these works or provided them under permitted development rights.</w:t>
      </w:r>
    </w:p>
    <w:p w14:paraId="76DF84F9" w14:textId="0193D38E" w:rsidR="007B086E" w:rsidRDefault="00283490" w:rsidP="00832C4C">
      <w:pPr>
        <w:pStyle w:val="Chromasubheadingnumbered"/>
        <w:rPr>
          <w:rFonts w:hint="eastAsia"/>
        </w:rPr>
      </w:pPr>
      <w:r w:rsidRPr="00635CD3">
        <w:t>Planning History</w:t>
      </w:r>
    </w:p>
    <w:p w14:paraId="039D84C3" w14:textId="6449A90A" w:rsidR="00A568B7" w:rsidRPr="00DF290C" w:rsidRDefault="00574471" w:rsidP="00DF290C">
      <w:pPr>
        <w:pStyle w:val="ListParagraph"/>
        <w:autoSpaceDE w:val="0"/>
        <w:autoSpaceDN w:val="0"/>
        <w:adjustRightInd w:val="0"/>
        <w:ind w:left="567" w:right="274"/>
        <w:jc w:val="both"/>
        <w:rPr>
          <w:rFonts w:ascii="Arial" w:hAnsi="Arial" w:cs="Arial"/>
          <w:b/>
          <w:bCs/>
          <w:color w:val="1BA3B1"/>
          <w:sz w:val="20"/>
          <w:szCs w:val="20"/>
        </w:rPr>
      </w:pPr>
      <w:r w:rsidRPr="00DF290C">
        <w:rPr>
          <w:rFonts w:ascii="Arial" w:hAnsi="Arial" w:cs="Arial"/>
          <w:b/>
          <w:bCs/>
          <w:color w:val="1BA3B1"/>
          <w:sz w:val="20"/>
          <w:szCs w:val="20"/>
        </w:rPr>
        <w:t>The Original Permission</w:t>
      </w:r>
    </w:p>
    <w:p w14:paraId="4731791D" w14:textId="77777777" w:rsidR="00574471" w:rsidRDefault="00574471" w:rsidP="00574471">
      <w:pPr>
        <w:pStyle w:val="ListParagraph"/>
        <w:autoSpaceDE w:val="0"/>
        <w:autoSpaceDN w:val="0"/>
        <w:adjustRightInd w:val="0"/>
        <w:ind w:left="567" w:right="274"/>
        <w:jc w:val="both"/>
        <w:rPr>
          <w:rFonts w:ascii="Arial" w:hAnsi="Arial" w:cs="Arial"/>
          <w:sz w:val="20"/>
          <w:szCs w:val="20"/>
          <w:lang w:eastAsia="en-GB"/>
        </w:rPr>
      </w:pPr>
    </w:p>
    <w:p w14:paraId="140B9BB6" w14:textId="77777777" w:rsidR="00F359CA" w:rsidRPr="00F359CA" w:rsidRDefault="00F359CA" w:rsidP="00562289">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359CA">
        <w:rPr>
          <w:rFonts w:ascii="Arial" w:hAnsi="Arial" w:cs="Arial"/>
          <w:sz w:val="20"/>
          <w:szCs w:val="20"/>
          <w:lang w:eastAsia="en-GB"/>
        </w:rPr>
        <w:t>Planning permission was granted on the 3 October 2023 for the construction of a side infill extension including a glazed box rooflight (application reference: 2022/1265/P).</w:t>
      </w:r>
    </w:p>
    <w:p w14:paraId="1C614872" w14:textId="77777777" w:rsidR="00F359CA" w:rsidRPr="00F359CA" w:rsidRDefault="00F359CA" w:rsidP="00562289">
      <w:pPr>
        <w:pStyle w:val="ListParagraph"/>
        <w:autoSpaceDE w:val="0"/>
        <w:autoSpaceDN w:val="0"/>
        <w:adjustRightInd w:val="0"/>
        <w:ind w:right="274"/>
        <w:jc w:val="both"/>
        <w:rPr>
          <w:rFonts w:ascii="Arial" w:hAnsi="Arial" w:cs="Arial"/>
          <w:sz w:val="20"/>
          <w:szCs w:val="20"/>
          <w:lang w:eastAsia="en-GB"/>
        </w:rPr>
      </w:pPr>
    </w:p>
    <w:p w14:paraId="5B250126" w14:textId="77777777" w:rsidR="00F359CA" w:rsidRPr="00F359CA" w:rsidRDefault="00F359CA" w:rsidP="00562289">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359CA">
        <w:rPr>
          <w:rFonts w:ascii="Arial" w:hAnsi="Arial" w:cs="Arial"/>
          <w:sz w:val="20"/>
          <w:szCs w:val="20"/>
          <w:lang w:eastAsia="en-GB"/>
        </w:rPr>
        <w:t>It is this permission against which the scheme amendments are proposed, and this Section 73 application relates.</w:t>
      </w:r>
    </w:p>
    <w:p w14:paraId="35A9F070" w14:textId="77777777" w:rsidR="00F359CA" w:rsidRPr="00F359CA" w:rsidRDefault="00F359CA" w:rsidP="00562289">
      <w:pPr>
        <w:pStyle w:val="ListParagraph"/>
        <w:autoSpaceDE w:val="0"/>
        <w:autoSpaceDN w:val="0"/>
        <w:adjustRightInd w:val="0"/>
        <w:ind w:right="274"/>
        <w:jc w:val="both"/>
        <w:rPr>
          <w:rFonts w:ascii="Arial" w:hAnsi="Arial" w:cs="Arial"/>
          <w:sz w:val="20"/>
          <w:szCs w:val="20"/>
          <w:lang w:eastAsia="en-GB"/>
        </w:rPr>
      </w:pPr>
    </w:p>
    <w:p w14:paraId="5379C62A" w14:textId="04C0DBE2" w:rsidR="00F359CA" w:rsidRDefault="00F359CA" w:rsidP="00562289">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359CA">
        <w:rPr>
          <w:rFonts w:ascii="Arial" w:hAnsi="Arial" w:cs="Arial"/>
          <w:sz w:val="20"/>
          <w:szCs w:val="20"/>
          <w:lang w:eastAsia="en-GB"/>
        </w:rPr>
        <w:t xml:space="preserve">The approved proposals comprised a timber clad, single storey rear </w:t>
      </w:r>
      <w:r w:rsidR="0056545C">
        <w:rPr>
          <w:rFonts w:ascii="Arial" w:hAnsi="Arial" w:cs="Arial"/>
          <w:sz w:val="20"/>
          <w:szCs w:val="20"/>
          <w:lang w:eastAsia="en-GB"/>
        </w:rPr>
        <w:t xml:space="preserve">side </w:t>
      </w:r>
      <w:r w:rsidRPr="00F359CA">
        <w:rPr>
          <w:rFonts w:ascii="Arial" w:hAnsi="Arial" w:cs="Arial"/>
          <w:sz w:val="20"/>
          <w:szCs w:val="20"/>
          <w:lang w:eastAsia="en-GB"/>
        </w:rPr>
        <w:t xml:space="preserve">extension to provide larger living space at the rear ground floor of the property and to create a link between the split levels that exist internally. </w:t>
      </w:r>
    </w:p>
    <w:p w14:paraId="79846F55" w14:textId="77777777" w:rsidR="00562289" w:rsidRPr="00562289" w:rsidRDefault="00562289" w:rsidP="00562289">
      <w:pPr>
        <w:autoSpaceDE w:val="0"/>
        <w:autoSpaceDN w:val="0"/>
        <w:adjustRightInd w:val="0"/>
        <w:ind w:right="274"/>
        <w:jc w:val="both"/>
        <w:rPr>
          <w:rFonts w:ascii="Arial" w:hAnsi="Arial" w:cs="Arial"/>
          <w:sz w:val="20"/>
          <w:szCs w:val="20"/>
          <w:lang w:eastAsia="en-GB"/>
        </w:rPr>
      </w:pPr>
    </w:p>
    <w:p w14:paraId="7CB42A44" w14:textId="77777777" w:rsidR="00562289" w:rsidRDefault="00562289" w:rsidP="00562289">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562289">
        <w:rPr>
          <w:rFonts w:ascii="Arial" w:hAnsi="Arial" w:cs="Arial"/>
          <w:sz w:val="20"/>
          <w:szCs w:val="20"/>
          <w:lang w:eastAsia="en-GB"/>
        </w:rPr>
        <w:t xml:space="preserve">The proposed amendments to this scheme have been brought about as a result of the detailed design process and a reconsideration of the proposed design solution, in addition to a review of the previous points of objection from adjacent properties (notwithstanding the proposals were granted planning permission). </w:t>
      </w:r>
    </w:p>
    <w:p w14:paraId="49B88ED2" w14:textId="77777777" w:rsidR="00DF290C" w:rsidRPr="00DF290C" w:rsidRDefault="00DF290C" w:rsidP="00DF290C">
      <w:pPr>
        <w:autoSpaceDE w:val="0"/>
        <w:autoSpaceDN w:val="0"/>
        <w:adjustRightInd w:val="0"/>
        <w:ind w:right="274"/>
        <w:jc w:val="both"/>
        <w:rPr>
          <w:rFonts w:ascii="Arial" w:hAnsi="Arial" w:cs="Arial"/>
          <w:sz w:val="20"/>
          <w:szCs w:val="20"/>
          <w:lang w:eastAsia="en-GB"/>
        </w:rPr>
      </w:pPr>
    </w:p>
    <w:p w14:paraId="2E6F7C84" w14:textId="3040A5D3" w:rsidR="00574471" w:rsidRPr="00C5129B" w:rsidRDefault="00562289" w:rsidP="00574471">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Pr>
          <w:rFonts w:ascii="Arial" w:hAnsi="Arial" w:cs="Arial"/>
          <w:sz w:val="20"/>
          <w:szCs w:val="20"/>
          <w:lang w:eastAsia="en-GB"/>
        </w:rPr>
        <w:t>There are no other planning history</w:t>
      </w:r>
      <w:r w:rsidR="00DF290C">
        <w:rPr>
          <w:rFonts w:ascii="Arial" w:hAnsi="Arial" w:cs="Arial"/>
          <w:sz w:val="20"/>
          <w:szCs w:val="20"/>
          <w:lang w:eastAsia="en-GB"/>
        </w:rPr>
        <w:t xml:space="preserve"> records of note in relation to the Property.</w:t>
      </w:r>
    </w:p>
    <w:p w14:paraId="6EA94377" w14:textId="1E880C55" w:rsidR="00283490" w:rsidRPr="00635CD3" w:rsidRDefault="00283490" w:rsidP="00832C4C">
      <w:pPr>
        <w:pStyle w:val="Chromasubheadingnumbered"/>
        <w:rPr>
          <w:rFonts w:hint="eastAsia"/>
        </w:rPr>
      </w:pPr>
      <w:r w:rsidRPr="00635CD3">
        <w:lastRenderedPageBreak/>
        <w:t>Proposals</w:t>
      </w:r>
    </w:p>
    <w:p w14:paraId="2B7FDF9E" w14:textId="10192B48" w:rsidR="00C22B88" w:rsidRDefault="004B5909" w:rsidP="004B01C5">
      <w:pPr>
        <w:pStyle w:val="ListParagraph"/>
        <w:numPr>
          <w:ilvl w:val="1"/>
          <w:numId w:val="14"/>
        </w:numPr>
        <w:autoSpaceDE w:val="0"/>
        <w:autoSpaceDN w:val="0"/>
        <w:adjustRightInd w:val="0"/>
        <w:ind w:left="567" w:right="274" w:hanging="567"/>
        <w:jc w:val="both"/>
        <w:rPr>
          <w:rFonts w:ascii="Arial" w:hAnsi="Arial" w:cs="Arial"/>
          <w:sz w:val="20"/>
          <w:szCs w:val="20"/>
        </w:rPr>
      </w:pPr>
      <w:r w:rsidRPr="00A17AB5">
        <w:rPr>
          <w:rFonts w:ascii="Arial" w:hAnsi="Arial" w:cs="Arial"/>
          <w:sz w:val="20"/>
          <w:szCs w:val="20"/>
        </w:rPr>
        <w:t xml:space="preserve">The proposals </w:t>
      </w:r>
      <w:r w:rsidR="0077570C" w:rsidRPr="00A17AB5">
        <w:rPr>
          <w:rFonts w:ascii="Arial" w:hAnsi="Arial" w:cs="Arial"/>
          <w:sz w:val="20"/>
          <w:szCs w:val="20"/>
        </w:rPr>
        <w:t xml:space="preserve">comprise </w:t>
      </w:r>
      <w:r w:rsidR="00A17AB5" w:rsidRPr="00A17AB5">
        <w:rPr>
          <w:rFonts w:ascii="Arial" w:hAnsi="Arial" w:cs="Arial"/>
          <w:sz w:val="20"/>
          <w:szCs w:val="20"/>
        </w:rPr>
        <w:t>amendments to the previously approved planning permission 2022/1265/P</w:t>
      </w:r>
      <w:r w:rsidR="00A17AB5">
        <w:rPr>
          <w:rFonts w:ascii="Arial" w:hAnsi="Arial" w:cs="Arial"/>
          <w:sz w:val="20"/>
          <w:szCs w:val="20"/>
        </w:rPr>
        <w:t>.</w:t>
      </w:r>
    </w:p>
    <w:p w14:paraId="6F0BF76B" w14:textId="77777777" w:rsidR="00DB06D3" w:rsidRDefault="00DB06D3" w:rsidP="00DB06D3">
      <w:pPr>
        <w:pStyle w:val="ListParagraph"/>
        <w:autoSpaceDE w:val="0"/>
        <w:autoSpaceDN w:val="0"/>
        <w:adjustRightInd w:val="0"/>
        <w:ind w:left="567" w:right="274"/>
        <w:jc w:val="both"/>
        <w:rPr>
          <w:rFonts w:ascii="Arial" w:hAnsi="Arial" w:cs="Arial"/>
          <w:sz w:val="20"/>
          <w:szCs w:val="20"/>
        </w:rPr>
      </w:pPr>
    </w:p>
    <w:p w14:paraId="0F56B8DB" w14:textId="3FB76B29" w:rsidR="006A3673" w:rsidRPr="00DB06D3" w:rsidRDefault="00DB06D3" w:rsidP="00DB06D3">
      <w:pPr>
        <w:pStyle w:val="ListParagraph"/>
        <w:numPr>
          <w:ilvl w:val="1"/>
          <w:numId w:val="14"/>
        </w:numPr>
        <w:autoSpaceDE w:val="0"/>
        <w:autoSpaceDN w:val="0"/>
        <w:adjustRightInd w:val="0"/>
        <w:ind w:left="567" w:right="274" w:hanging="567"/>
        <w:jc w:val="both"/>
        <w:rPr>
          <w:rFonts w:ascii="Arial" w:hAnsi="Arial" w:cs="Arial"/>
          <w:sz w:val="20"/>
          <w:szCs w:val="20"/>
        </w:rPr>
      </w:pPr>
      <w:r w:rsidRPr="00DB06D3">
        <w:rPr>
          <w:rFonts w:ascii="Arial" w:hAnsi="Arial" w:cs="Arial"/>
          <w:sz w:val="20"/>
          <w:szCs w:val="20"/>
        </w:rPr>
        <w:t>The design changes forming part of this Section 73 Application comprise a reconsideration of the design and scale of the approved side infill extension that is more in keeping with the host Property and commensurate with the Site’s surrounding context.</w:t>
      </w:r>
    </w:p>
    <w:p w14:paraId="3C6148AA" w14:textId="77777777" w:rsidR="00A17AB5" w:rsidRPr="00A17AB5" w:rsidRDefault="00A17AB5" w:rsidP="00A17AB5">
      <w:pPr>
        <w:pStyle w:val="ListParagraph"/>
        <w:autoSpaceDE w:val="0"/>
        <w:autoSpaceDN w:val="0"/>
        <w:adjustRightInd w:val="0"/>
        <w:ind w:left="567" w:right="274"/>
        <w:jc w:val="both"/>
        <w:rPr>
          <w:rFonts w:ascii="Arial" w:hAnsi="Arial" w:cs="Arial"/>
          <w:sz w:val="20"/>
          <w:szCs w:val="20"/>
        </w:rPr>
      </w:pPr>
    </w:p>
    <w:p w14:paraId="76F6420F" w14:textId="735D0847" w:rsidR="00C22B88" w:rsidRDefault="00C22B88" w:rsidP="00C22B88">
      <w:pPr>
        <w:pStyle w:val="ListParagraph"/>
        <w:numPr>
          <w:ilvl w:val="1"/>
          <w:numId w:val="14"/>
        </w:numPr>
        <w:autoSpaceDE w:val="0"/>
        <w:autoSpaceDN w:val="0"/>
        <w:adjustRightInd w:val="0"/>
        <w:ind w:left="567" w:right="274" w:hanging="567"/>
        <w:jc w:val="both"/>
        <w:rPr>
          <w:rFonts w:ascii="Arial" w:eastAsia="Calibri" w:hAnsi="Arial"/>
          <w:color w:val="000000"/>
          <w:sz w:val="20"/>
          <w:szCs w:val="22"/>
        </w:rPr>
      </w:pPr>
      <w:r w:rsidRPr="00C22B88">
        <w:rPr>
          <w:rFonts w:ascii="Arial" w:eastAsia="Calibri" w:hAnsi="Arial"/>
          <w:color w:val="000000"/>
          <w:sz w:val="20"/>
          <w:szCs w:val="22"/>
        </w:rPr>
        <w:t xml:space="preserve">Full details of the proposals can be found on the enclosed drawings but are summarised below for completeness. </w:t>
      </w:r>
    </w:p>
    <w:p w14:paraId="0830322C" w14:textId="77777777" w:rsidR="00C22B88" w:rsidRPr="00C22B88" w:rsidRDefault="00C22B88" w:rsidP="00C22B88">
      <w:pPr>
        <w:autoSpaceDE w:val="0"/>
        <w:autoSpaceDN w:val="0"/>
        <w:adjustRightInd w:val="0"/>
        <w:ind w:right="274"/>
        <w:jc w:val="both"/>
        <w:rPr>
          <w:rFonts w:ascii="Arial" w:eastAsia="Calibri" w:hAnsi="Arial"/>
          <w:color w:val="000000"/>
          <w:sz w:val="20"/>
          <w:szCs w:val="22"/>
        </w:rPr>
      </w:pPr>
    </w:p>
    <w:p w14:paraId="5666D2BE" w14:textId="36F805DA" w:rsidR="00A34EA4" w:rsidRPr="00BA4740" w:rsidRDefault="00826C2F" w:rsidP="00DB06D3">
      <w:pPr>
        <w:pStyle w:val="ListParagraph"/>
        <w:numPr>
          <w:ilvl w:val="0"/>
          <w:numId w:val="32"/>
        </w:numPr>
        <w:spacing w:after="240"/>
        <w:rPr>
          <w:rFonts w:ascii="Arial" w:eastAsia="Calibri" w:hAnsi="Arial"/>
          <w:color w:val="000000"/>
          <w:sz w:val="20"/>
          <w:szCs w:val="22"/>
        </w:rPr>
      </w:pPr>
      <w:r w:rsidRPr="00BA4740">
        <w:rPr>
          <w:rFonts w:ascii="Arial" w:eastAsia="Calibri" w:hAnsi="Arial"/>
          <w:color w:val="000000"/>
          <w:sz w:val="20"/>
          <w:szCs w:val="22"/>
        </w:rPr>
        <w:t xml:space="preserve">Removal of the </w:t>
      </w:r>
      <w:r w:rsidR="006B4EE6" w:rsidRPr="00BA4740">
        <w:rPr>
          <w:rFonts w:ascii="Arial" w:eastAsia="Calibri" w:hAnsi="Arial"/>
          <w:color w:val="000000"/>
          <w:sz w:val="20"/>
          <w:szCs w:val="22"/>
        </w:rPr>
        <w:t>approved glazed box rooflight to provide a more traditional and less contemporary form</w:t>
      </w:r>
      <w:r w:rsidR="00072857" w:rsidRPr="00BA4740">
        <w:rPr>
          <w:rFonts w:ascii="Arial" w:eastAsia="Calibri" w:hAnsi="Arial"/>
          <w:color w:val="000000"/>
          <w:sz w:val="20"/>
          <w:szCs w:val="22"/>
        </w:rPr>
        <w:t xml:space="preserve">, </w:t>
      </w:r>
      <w:r w:rsidR="00AD43D7" w:rsidRPr="00BA4740">
        <w:rPr>
          <w:rFonts w:ascii="Arial" w:eastAsia="Calibri" w:hAnsi="Arial"/>
          <w:color w:val="000000"/>
          <w:sz w:val="20"/>
          <w:szCs w:val="22"/>
        </w:rPr>
        <w:t>reducing the impact of the design on the host building, improving privacy and further revealing more of the host buildings original fabric</w:t>
      </w:r>
      <w:r w:rsidR="00AD43D7" w:rsidRPr="00BA4740">
        <w:rPr>
          <w:rFonts w:ascii="Arial" w:eastAsia="Calibri" w:hAnsi="Arial"/>
          <w:color w:val="000000"/>
          <w:sz w:val="20"/>
          <w:szCs w:val="22"/>
        </w:rPr>
        <w:t>;</w:t>
      </w:r>
    </w:p>
    <w:p w14:paraId="3994C208" w14:textId="655262E7" w:rsidR="00AD43D7" w:rsidRPr="00BA4740" w:rsidRDefault="00AD43D7" w:rsidP="00DB06D3">
      <w:pPr>
        <w:pStyle w:val="ListParagraph"/>
        <w:numPr>
          <w:ilvl w:val="0"/>
          <w:numId w:val="32"/>
        </w:numPr>
        <w:spacing w:after="240"/>
        <w:rPr>
          <w:rFonts w:ascii="Arial" w:eastAsia="Calibri" w:hAnsi="Arial"/>
          <w:color w:val="000000"/>
          <w:sz w:val="20"/>
          <w:szCs w:val="22"/>
        </w:rPr>
      </w:pPr>
      <w:r w:rsidRPr="00BA4740">
        <w:rPr>
          <w:rFonts w:ascii="Arial" w:eastAsia="Calibri" w:hAnsi="Arial"/>
          <w:color w:val="000000"/>
          <w:sz w:val="20"/>
          <w:szCs w:val="22"/>
        </w:rPr>
        <w:t>The replacement of the approved ‘timber’ material finish</w:t>
      </w:r>
      <w:r w:rsidR="001B1800" w:rsidRPr="00BA4740">
        <w:rPr>
          <w:rFonts w:ascii="Arial" w:eastAsia="Calibri" w:hAnsi="Arial"/>
          <w:color w:val="000000"/>
          <w:sz w:val="20"/>
          <w:szCs w:val="22"/>
        </w:rPr>
        <w:t xml:space="preserve"> with the introduction of a ceramic tile to enhance the quality and detailing of the rear façade;</w:t>
      </w:r>
    </w:p>
    <w:p w14:paraId="4BA045ED" w14:textId="654D0762" w:rsidR="00BA4740" w:rsidRPr="00BA4740" w:rsidRDefault="00BA4740" w:rsidP="00DB06D3">
      <w:pPr>
        <w:pStyle w:val="ListParagraph"/>
        <w:numPr>
          <w:ilvl w:val="0"/>
          <w:numId w:val="32"/>
        </w:numPr>
        <w:spacing w:after="240"/>
        <w:rPr>
          <w:rFonts w:ascii="Arial" w:eastAsia="Calibri" w:hAnsi="Arial"/>
          <w:color w:val="000000"/>
          <w:sz w:val="20"/>
          <w:szCs w:val="22"/>
        </w:rPr>
      </w:pPr>
      <w:r w:rsidRPr="00BA4740">
        <w:rPr>
          <w:rFonts w:ascii="Arial" w:eastAsia="Calibri" w:hAnsi="Arial"/>
          <w:color w:val="000000"/>
          <w:sz w:val="20"/>
          <w:szCs w:val="22"/>
        </w:rPr>
        <w:t>The provision of the rear exit door in a more central position;</w:t>
      </w:r>
      <w:r>
        <w:rPr>
          <w:rFonts w:ascii="Arial" w:eastAsia="Calibri" w:hAnsi="Arial"/>
          <w:color w:val="000000"/>
          <w:sz w:val="20"/>
          <w:szCs w:val="22"/>
        </w:rPr>
        <w:t xml:space="preserve"> and </w:t>
      </w:r>
    </w:p>
    <w:p w14:paraId="2E7BAC78" w14:textId="6B949561" w:rsidR="00BA4740" w:rsidRPr="00BA4740" w:rsidRDefault="00BA4740" w:rsidP="00DB06D3">
      <w:pPr>
        <w:pStyle w:val="ListParagraph"/>
        <w:numPr>
          <w:ilvl w:val="0"/>
          <w:numId w:val="32"/>
        </w:numPr>
        <w:spacing w:after="240"/>
        <w:rPr>
          <w:rFonts w:ascii="Arial" w:eastAsia="Calibri" w:hAnsi="Arial"/>
          <w:color w:val="000000"/>
          <w:sz w:val="20"/>
          <w:szCs w:val="22"/>
        </w:rPr>
      </w:pPr>
      <w:r w:rsidRPr="00BA4740">
        <w:rPr>
          <w:rFonts w:ascii="Arial" w:eastAsia="Calibri" w:hAnsi="Arial"/>
          <w:color w:val="000000"/>
          <w:sz w:val="20"/>
          <w:szCs w:val="22"/>
        </w:rPr>
        <w:t xml:space="preserve">The provision of concealed guttering and a zinc roof as an alterative to timber strips. </w:t>
      </w:r>
    </w:p>
    <w:p w14:paraId="1AB97A40" w14:textId="39981490" w:rsidR="00283490" w:rsidRPr="00635CD3" w:rsidRDefault="00283490" w:rsidP="00832C4C">
      <w:pPr>
        <w:pStyle w:val="Chromasubheadingnumbered"/>
        <w:rPr>
          <w:rFonts w:hint="eastAsia"/>
        </w:rPr>
      </w:pPr>
      <w:r w:rsidRPr="00635CD3">
        <w:t>Planning Policy</w:t>
      </w:r>
    </w:p>
    <w:p w14:paraId="71F4A6C3" w14:textId="2965C1AE" w:rsidR="00483A4E" w:rsidRPr="00DD0577" w:rsidRDefault="00483A4E" w:rsidP="00DD0577">
      <w:pPr>
        <w:autoSpaceDE w:val="0"/>
        <w:autoSpaceDN w:val="0"/>
        <w:adjustRightInd w:val="0"/>
        <w:ind w:right="274" w:firstLine="567"/>
        <w:jc w:val="both"/>
        <w:rPr>
          <w:rFonts w:ascii="Arial" w:hAnsi="Arial" w:cs="Arial"/>
          <w:b/>
          <w:bCs/>
          <w:color w:val="1BA3B1"/>
          <w:sz w:val="20"/>
          <w:szCs w:val="20"/>
        </w:rPr>
      </w:pPr>
      <w:r w:rsidRPr="00DD0577">
        <w:rPr>
          <w:rFonts w:ascii="Arial" w:hAnsi="Arial" w:cs="Arial"/>
          <w:b/>
          <w:bCs/>
          <w:color w:val="1BA3B1"/>
          <w:sz w:val="20"/>
          <w:szCs w:val="20"/>
        </w:rPr>
        <w:t>Policy Fram</w:t>
      </w:r>
      <w:r w:rsidR="00C307D6" w:rsidRPr="00DD0577">
        <w:rPr>
          <w:rFonts w:ascii="Arial" w:hAnsi="Arial" w:cs="Arial"/>
          <w:b/>
          <w:bCs/>
          <w:color w:val="1BA3B1"/>
          <w:sz w:val="20"/>
          <w:szCs w:val="20"/>
        </w:rPr>
        <w:t>ework</w:t>
      </w:r>
      <w:r w:rsidRPr="00DD0577">
        <w:rPr>
          <w:rFonts w:ascii="Arial" w:hAnsi="Arial" w:cs="Arial"/>
          <w:b/>
          <w:bCs/>
          <w:color w:val="1BA3B1"/>
          <w:sz w:val="20"/>
          <w:szCs w:val="20"/>
        </w:rPr>
        <w:t xml:space="preserve"> </w:t>
      </w:r>
    </w:p>
    <w:p w14:paraId="014299AB" w14:textId="77777777" w:rsidR="00483A4E" w:rsidRPr="00635CD3" w:rsidRDefault="00483A4E" w:rsidP="003F0F60">
      <w:pPr>
        <w:pStyle w:val="ListParagraph"/>
        <w:autoSpaceDE w:val="0"/>
        <w:autoSpaceDN w:val="0"/>
        <w:adjustRightInd w:val="0"/>
        <w:ind w:left="426" w:right="274"/>
        <w:jc w:val="both"/>
        <w:rPr>
          <w:rFonts w:ascii="Arial" w:hAnsi="Arial" w:cs="Arial"/>
          <w:sz w:val="20"/>
          <w:szCs w:val="20"/>
        </w:rPr>
      </w:pPr>
    </w:p>
    <w:p w14:paraId="3853031A" w14:textId="2029B303" w:rsidR="004A14D2" w:rsidRDefault="00337371" w:rsidP="003F0F60">
      <w:pPr>
        <w:pStyle w:val="ListParagraph"/>
        <w:numPr>
          <w:ilvl w:val="1"/>
          <w:numId w:val="14"/>
        </w:numPr>
        <w:autoSpaceDE w:val="0"/>
        <w:autoSpaceDN w:val="0"/>
        <w:adjustRightInd w:val="0"/>
        <w:ind w:left="567" w:right="274" w:hanging="567"/>
        <w:jc w:val="both"/>
        <w:rPr>
          <w:rFonts w:ascii="Arial" w:hAnsi="Arial" w:cs="Arial"/>
          <w:sz w:val="20"/>
          <w:szCs w:val="20"/>
        </w:rPr>
      </w:pPr>
      <w:r w:rsidRPr="003A4512">
        <w:rPr>
          <w:rFonts w:ascii="Arial" w:hAnsi="Arial" w:cs="Arial"/>
          <w:sz w:val="20"/>
          <w:szCs w:val="20"/>
        </w:rPr>
        <w:t xml:space="preserve">National Policy Guidance is produced by Central Government in the form of the National Planning Policy Framework (NPPF), adopted in July 2018 and updated in </w:t>
      </w:r>
      <w:r w:rsidR="00E3634F">
        <w:rPr>
          <w:rFonts w:ascii="Arial" w:hAnsi="Arial" w:cs="Arial"/>
          <w:sz w:val="20"/>
          <w:szCs w:val="20"/>
        </w:rPr>
        <w:t>202</w:t>
      </w:r>
      <w:r w:rsidR="00B41E8C">
        <w:rPr>
          <w:rFonts w:ascii="Arial" w:hAnsi="Arial" w:cs="Arial"/>
          <w:sz w:val="20"/>
          <w:szCs w:val="20"/>
        </w:rPr>
        <w:t>3</w:t>
      </w:r>
      <w:r w:rsidRPr="003A4512">
        <w:rPr>
          <w:rFonts w:ascii="Arial" w:hAnsi="Arial" w:cs="Arial"/>
          <w:sz w:val="20"/>
          <w:szCs w:val="20"/>
        </w:rPr>
        <w:t xml:space="preserve">. This is a material consideration when determining planning </w:t>
      </w:r>
      <w:r w:rsidR="006410EC">
        <w:rPr>
          <w:rFonts w:ascii="Arial" w:hAnsi="Arial" w:cs="Arial"/>
          <w:sz w:val="20"/>
          <w:szCs w:val="20"/>
        </w:rPr>
        <w:t xml:space="preserve">and listed building </w:t>
      </w:r>
      <w:r w:rsidRPr="003A4512">
        <w:rPr>
          <w:rFonts w:ascii="Arial" w:hAnsi="Arial" w:cs="Arial"/>
          <w:sz w:val="20"/>
          <w:szCs w:val="20"/>
        </w:rPr>
        <w:t>applications</w:t>
      </w:r>
      <w:r w:rsidR="008C5837" w:rsidRPr="003A4512">
        <w:rPr>
          <w:rFonts w:ascii="Arial" w:hAnsi="Arial" w:cs="Arial"/>
          <w:sz w:val="20"/>
          <w:szCs w:val="20"/>
        </w:rPr>
        <w:t xml:space="preserve">. </w:t>
      </w:r>
    </w:p>
    <w:p w14:paraId="1BEA7230" w14:textId="77777777" w:rsidR="006A3A58" w:rsidRPr="001A45FC" w:rsidRDefault="006A3A58" w:rsidP="003F0F60">
      <w:pPr>
        <w:autoSpaceDE w:val="0"/>
        <w:autoSpaceDN w:val="0"/>
        <w:adjustRightInd w:val="0"/>
        <w:ind w:right="274"/>
        <w:jc w:val="both"/>
        <w:rPr>
          <w:rFonts w:ascii="Arial" w:hAnsi="Arial" w:cs="Arial"/>
          <w:sz w:val="20"/>
          <w:szCs w:val="20"/>
        </w:rPr>
      </w:pPr>
    </w:p>
    <w:p w14:paraId="65CC2F13" w14:textId="77777777" w:rsidR="00E4513F" w:rsidRDefault="006A3A58" w:rsidP="00BB09FF">
      <w:pPr>
        <w:pStyle w:val="ListParagraph"/>
        <w:numPr>
          <w:ilvl w:val="1"/>
          <w:numId w:val="14"/>
        </w:numPr>
        <w:autoSpaceDE w:val="0"/>
        <w:autoSpaceDN w:val="0"/>
        <w:adjustRightInd w:val="0"/>
        <w:ind w:left="567" w:right="274" w:hanging="567"/>
        <w:jc w:val="both"/>
        <w:rPr>
          <w:rFonts w:ascii="Arial" w:hAnsi="Arial" w:cs="Arial"/>
          <w:sz w:val="20"/>
          <w:szCs w:val="20"/>
        </w:rPr>
      </w:pPr>
      <w:r w:rsidRPr="006A3A58">
        <w:rPr>
          <w:rFonts w:ascii="Arial" w:hAnsi="Arial" w:cs="Arial"/>
          <w:sz w:val="20"/>
          <w:szCs w:val="20"/>
        </w:rPr>
        <w:t>Section 38(6) of the Planning and Compulsory Purchase Act 2004 requires planning applications to be determined in accordance with the statutory development plan unless material considerations indicate otherwise.</w:t>
      </w:r>
      <w:r w:rsidR="001A45FC" w:rsidRPr="001A45FC">
        <w:rPr>
          <w:rFonts w:ascii="Arial" w:hAnsi="Arial" w:cs="Arial"/>
          <w:sz w:val="20"/>
          <w:szCs w:val="20"/>
        </w:rPr>
        <w:t xml:space="preserve"> </w:t>
      </w:r>
    </w:p>
    <w:p w14:paraId="1BE28915" w14:textId="77777777" w:rsidR="00A204E9" w:rsidRPr="00A204E9" w:rsidRDefault="00A204E9" w:rsidP="00A204E9">
      <w:pPr>
        <w:pStyle w:val="ListParagraph"/>
        <w:rPr>
          <w:rFonts w:ascii="Arial" w:hAnsi="Arial" w:cs="Arial"/>
          <w:sz w:val="20"/>
          <w:szCs w:val="20"/>
        </w:rPr>
      </w:pPr>
    </w:p>
    <w:p w14:paraId="784986DA" w14:textId="26BFA8F5" w:rsidR="00FC03FA" w:rsidRPr="00FC03FA" w:rsidRDefault="00FC03FA" w:rsidP="00FC03FA">
      <w:pPr>
        <w:pStyle w:val="ListParagraph"/>
        <w:numPr>
          <w:ilvl w:val="1"/>
          <w:numId w:val="14"/>
        </w:numPr>
        <w:autoSpaceDE w:val="0"/>
        <w:autoSpaceDN w:val="0"/>
        <w:adjustRightInd w:val="0"/>
        <w:ind w:left="567" w:right="274" w:hanging="567"/>
        <w:jc w:val="both"/>
        <w:rPr>
          <w:rFonts w:ascii="Arial" w:hAnsi="Arial" w:cs="Arial"/>
          <w:sz w:val="20"/>
          <w:szCs w:val="20"/>
        </w:rPr>
      </w:pPr>
      <w:r w:rsidRPr="00FC03FA">
        <w:rPr>
          <w:rFonts w:ascii="Arial" w:hAnsi="Arial" w:cs="Arial"/>
          <w:sz w:val="20"/>
          <w:szCs w:val="20"/>
        </w:rPr>
        <w:t>The Statutory Development Plan comprises of the policies set out in the following documents:</w:t>
      </w:r>
    </w:p>
    <w:p w14:paraId="1D558B70" w14:textId="77777777" w:rsidR="00FC03FA" w:rsidRDefault="00FC03FA" w:rsidP="00FC03FA">
      <w:pPr>
        <w:autoSpaceDE w:val="0"/>
        <w:autoSpaceDN w:val="0"/>
        <w:adjustRightInd w:val="0"/>
        <w:ind w:right="274"/>
        <w:jc w:val="both"/>
        <w:rPr>
          <w:rFonts w:ascii="Arial" w:hAnsi="Arial" w:cs="Arial"/>
          <w:sz w:val="20"/>
          <w:szCs w:val="20"/>
        </w:rPr>
      </w:pPr>
    </w:p>
    <w:p w14:paraId="37C74C49" w14:textId="3FD65A5E" w:rsidR="00FC03FA" w:rsidRPr="00FC03FA" w:rsidRDefault="00FC03FA" w:rsidP="00FC03FA">
      <w:pPr>
        <w:pStyle w:val="ListParagraph"/>
        <w:numPr>
          <w:ilvl w:val="0"/>
          <w:numId w:val="33"/>
        </w:numPr>
        <w:autoSpaceDE w:val="0"/>
        <w:autoSpaceDN w:val="0"/>
        <w:adjustRightInd w:val="0"/>
        <w:ind w:right="274"/>
        <w:jc w:val="both"/>
        <w:rPr>
          <w:rFonts w:ascii="Arial" w:hAnsi="Arial" w:cs="Arial"/>
          <w:sz w:val="20"/>
          <w:szCs w:val="20"/>
        </w:rPr>
      </w:pPr>
      <w:r w:rsidRPr="00FC03FA">
        <w:rPr>
          <w:rFonts w:ascii="Arial" w:hAnsi="Arial" w:cs="Arial"/>
          <w:sz w:val="20"/>
          <w:szCs w:val="20"/>
        </w:rPr>
        <w:t>Greater London Authority’s (GLA) London Plan (LP), March 2021; and</w:t>
      </w:r>
    </w:p>
    <w:p w14:paraId="62E75C13" w14:textId="77777777" w:rsidR="00C12193" w:rsidRPr="00C12193" w:rsidRDefault="00C12193" w:rsidP="00C12193">
      <w:pPr>
        <w:pStyle w:val="ListParagraph"/>
        <w:numPr>
          <w:ilvl w:val="0"/>
          <w:numId w:val="33"/>
        </w:numPr>
        <w:autoSpaceDE w:val="0"/>
        <w:autoSpaceDN w:val="0"/>
        <w:adjustRightInd w:val="0"/>
        <w:ind w:right="274"/>
        <w:jc w:val="both"/>
        <w:rPr>
          <w:rFonts w:ascii="Arial" w:hAnsi="Arial" w:cs="Arial"/>
          <w:sz w:val="20"/>
          <w:szCs w:val="20"/>
        </w:rPr>
      </w:pPr>
      <w:r w:rsidRPr="00C12193">
        <w:rPr>
          <w:rFonts w:ascii="Arial" w:hAnsi="Arial" w:cs="Arial"/>
          <w:sz w:val="20"/>
          <w:szCs w:val="20"/>
        </w:rPr>
        <w:t>The Camden Local Plan (adopted 2017)</w:t>
      </w:r>
    </w:p>
    <w:p w14:paraId="3B98B79F" w14:textId="77777777" w:rsidR="003A4512" w:rsidRPr="009E7F88" w:rsidRDefault="003A4512" w:rsidP="003F0F60">
      <w:pPr>
        <w:autoSpaceDE w:val="0"/>
        <w:autoSpaceDN w:val="0"/>
        <w:adjustRightInd w:val="0"/>
        <w:ind w:right="274"/>
        <w:jc w:val="both"/>
        <w:rPr>
          <w:rFonts w:ascii="Arial" w:hAnsi="Arial" w:cs="Arial"/>
          <w:sz w:val="20"/>
          <w:szCs w:val="20"/>
        </w:rPr>
      </w:pPr>
    </w:p>
    <w:p w14:paraId="1455DB20" w14:textId="77777777" w:rsidR="005D2B51" w:rsidRPr="005D2B51" w:rsidRDefault="005D2B51" w:rsidP="005D2B51">
      <w:pPr>
        <w:pStyle w:val="ListParagraph"/>
        <w:numPr>
          <w:ilvl w:val="1"/>
          <w:numId w:val="14"/>
        </w:numPr>
        <w:autoSpaceDE w:val="0"/>
        <w:autoSpaceDN w:val="0"/>
        <w:adjustRightInd w:val="0"/>
        <w:ind w:left="567" w:right="274" w:hanging="567"/>
        <w:jc w:val="both"/>
        <w:rPr>
          <w:rFonts w:ascii="Arial" w:hAnsi="Arial" w:cs="Arial"/>
          <w:sz w:val="20"/>
          <w:szCs w:val="20"/>
        </w:rPr>
      </w:pPr>
      <w:r w:rsidRPr="005D2B51">
        <w:rPr>
          <w:rFonts w:ascii="Arial" w:hAnsi="Arial" w:cs="Arial"/>
          <w:sz w:val="20"/>
          <w:szCs w:val="20"/>
        </w:rPr>
        <w:t xml:space="preserve">The Fortune Green and West Hampstead Neighbourhood Plan (adopted September 2015) is also of relevance to the consideration of these proposals. </w:t>
      </w:r>
    </w:p>
    <w:p w14:paraId="7D1EA23D" w14:textId="77777777" w:rsidR="00ED7E9F" w:rsidRDefault="00ED7E9F" w:rsidP="00ED7E9F">
      <w:pPr>
        <w:pStyle w:val="ListParagraph"/>
        <w:autoSpaceDE w:val="0"/>
        <w:autoSpaceDN w:val="0"/>
        <w:adjustRightInd w:val="0"/>
        <w:ind w:left="567" w:right="274"/>
        <w:jc w:val="both"/>
        <w:rPr>
          <w:rFonts w:ascii="Arial" w:hAnsi="Arial" w:cs="Arial"/>
          <w:sz w:val="20"/>
          <w:szCs w:val="20"/>
        </w:rPr>
      </w:pPr>
    </w:p>
    <w:p w14:paraId="15114976" w14:textId="68AAA938" w:rsidR="005E3FCE" w:rsidRDefault="005E3FCE" w:rsidP="005E3FCE">
      <w:pPr>
        <w:pStyle w:val="ListParagraph"/>
        <w:numPr>
          <w:ilvl w:val="1"/>
          <w:numId w:val="14"/>
        </w:numPr>
        <w:autoSpaceDE w:val="0"/>
        <w:autoSpaceDN w:val="0"/>
        <w:adjustRightInd w:val="0"/>
        <w:ind w:left="567" w:right="274" w:hanging="567"/>
        <w:jc w:val="both"/>
        <w:rPr>
          <w:rFonts w:ascii="Arial" w:hAnsi="Arial" w:cs="Arial"/>
          <w:sz w:val="20"/>
          <w:szCs w:val="20"/>
        </w:rPr>
      </w:pPr>
      <w:r w:rsidRPr="00DF74EE">
        <w:rPr>
          <w:rFonts w:ascii="Arial" w:hAnsi="Arial" w:cs="Arial"/>
          <w:sz w:val="20"/>
          <w:szCs w:val="20"/>
        </w:rPr>
        <w:t>Section 66 of the Planning (Listed Buildings and Conservation Areas) Act 1990 requires that when considering whether to grant planning permission for development which affects a listed building or its setting, the decision maker shall have special regard to the desirability of preserving the building or its setting or any features of special architectural or historic interest which it possesses. Section 72 of the same Act provides that, in respect of development affecting conservation areas, special attention shall be paid to the desirability of preserving or enhancing the character or appearance of that area.</w:t>
      </w:r>
    </w:p>
    <w:p w14:paraId="0F468D30" w14:textId="77777777" w:rsidR="00C65AE9" w:rsidRDefault="00C65AE9" w:rsidP="00EC1207">
      <w:pPr>
        <w:autoSpaceDE w:val="0"/>
        <w:autoSpaceDN w:val="0"/>
        <w:adjustRightInd w:val="0"/>
        <w:ind w:right="274"/>
        <w:jc w:val="both"/>
        <w:rPr>
          <w:rFonts w:ascii="Arial" w:hAnsi="Arial" w:cs="Arial"/>
          <w:b/>
          <w:bCs/>
          <w:color w:val="1BA3B1"/>
          <w:sz w:val="20"/>
          <w:szCs w:val="20"/>
        </w:rPr>
      </w:pPr>
    </w:p>
    <w:p w14:paraId="74A81A32" w14:textId="57FFE6D0" w:rsidR="003C6D3A" w:rsidRPr="00DD0577" w:rsidRDefault="00DA7F63" w:rsidP="00DD0577">
      <w:pPr>
        <w:autoSpaceDE w:val="0"/>
        <w:autoSpaceDN w:val="0"/>
        <w:adjustRightInd w:val="0"/>
        <w:ind w:right="274" w:firstLine="567"/>
        <w:jc w:val="both"/>
        <w:rPr>
          <w:rFonts w:ascii="Arial" w:hAnsi="Arial" w:cs="Arial"/>
          <w:b/>
          <w:bCs/>
          <w:color w:val="1BA3B1"/>
          <w:sz w:val="20"/>
          <w:szCs w:val="20"/>
        </w:rPr>
      </w:pPr>
      <w:r w:rsidRPr="00DD0577">
        <w:rPr>
          <w:rFonts w:ascii="Arial" w:hAnsi="Arial" w:cs="Arial"/>
          <w:b/>
          <w:bCs/>
          <w:color w:val="1BA3B1"/>
          <w:sz w:val="20"/>
          <w:szCs w:val="20"/>
        </w:rPr>
        <w:t xml:space="preserve">National </w:t>
      </w:r>
      <w:r w:rsidR="003C6D3A" w:rsidRPr="00DD0577">
        <w:rPr>
          <w:rFonts w:ascii="Arial" w:hAnsi="Arial" w:cs="Arial"/>
          <w:b/>
          <w:bCs/>
          <w:color w:val="1BA3B1"/>
          <w:sz w:val="20"/>
          <w:szCs w:val="20"/>
        </w:rPr>
        <w:t>Policy</w:t>
      </w:r>
    </w:p>
    <w:p w14:paraId="4BFEA841" w14:textId="77777777" w:rsidR="00D212AA" w:rsidRPr="005E3FCE" w:rsidRDefault="00D212AA" w:rsidP="005E3FCE">
      <w:pPr>
        <w:ind w:right="274"/>
        <w:jc w:val="both"/>
        <w:rPr>
          <w:rFonts w:ascii="Arial" w:hAnsi="Arial" w:cs="Arial"/>
          <w:sz w:val="20"/>
          <w:szCs w:val="20"/>
        </w:rPr>
      </w:pPr>
    </w:p>
    <w:p w14:paraId="03899CAF" w14:textId="77777777" w:rsidR="00D212AA" w:rsidRDefault="00D212AA" w:rsidP="003F0F60">
      <w:pPr>
        <w:pStyle w:val="ListParagraph"/>
        <w:numPr>
          <w:ilvl w:val="1"/>
          <w:numId w:val="14"/>
        </w:numPr>
        <w:autoSpaceDE w:val="0"/>
        <w:autoSpaceDN w:val="0"/>
        <w:adjustRightInd w:val="0"/>
        <w:ind w:left="567" w:right="274" w:hanging="567"/>
        <w:jc w:val="both"/>
        <w:rPr>
          <w:rFonts w:ascii="Arial" w:hAnsi="Arial" w:cs="Arial"/>
          <w:sz w:val="20"/>
          <w:szCs w:val="20"/>
        </w:rPr>
      </w:pPr>
      <w:r w:rsidRPr="00DF74EE">
        <w:rPr>
          <w:rFonts w:ascii="Arial" w:hAnsi="Arial" w:cs="Arial"/>
          <w:sz w:val="20"/>
          <w:szCs w:val="20"/>
        </w:rPr>
        <w:t xml:space="preserve">The NPPF provides Government guidance on the impact of development on heritage assets. Guidance on conserving and enhancing the historic environment is provided in the Planning Practice Guidance (PPG). The PPG is clear that the ‘significance’ of a heritage asset and the contribution of its setting, is very important to understanding the potential impact and acceptability of proposals. </w:t>
      </w:r>
    </w:p>
    <w:p w14:paraId="514C9B99" w14:textId="77777777" w:rsidR="00D212AA" w:rsidRPr="00DF74EE" w:rsidRDefault="00D212AA" w:rsidP="003F0F60">
      <w:pPr>
        <w:pStyle w:val="ListParagraph"/>
        <w:ind w:right="274"/>
        <w:jc w:val="both"/>
        <w:rPr>
          <w:rFonts w:ascii="Arial" w:hAnsi="Arial" w:cs="Arial"/>
          <w:sz w:val="20"/>
          <w:szCs w:val="20"/>
        </w:rPr>
      </w:pPr>
    </w:p>
    <w:p w14:paraId="02FA1500" w14:textId="35BAE209" w:rsidR="00D212AA" w:rsidRDefault="00D212AA" w:rsidP="003F0F60">
      <w:pPr>
        <w:pStyle w:val="ListParagraph"/>
        <w:numPr>
          <w:ilvl w:val="1"/>
          <w:numId w:val="14"/>
        </w:numPr>
        <w:autoSpaceDE w:val="0"/>
        <w:autoSpaceDN w:val="0"/>
        <w:adjustRightInd w:val="0"/>
        <w:ind w:left="567" w:right="274" w:hanging="567"/>
        <w:jc w:val="both"/>
        <w:rPr>
          <w:rFonts w:ascii="Arial" w:hAnsi="Arial" w:cs="Arial"/>
          <w:sz w:val="20"/>
          <w:szCs w:val="20"/>
        </w:rPr>
      </w:pPr>
      <w:r w:rsidRPr="00DF74EE">
        <w:rPr>
          <w:rFonts w:ascii="Arial" w:hAnsi="Arial" w:cs="Arial"/>
          <w:sz w:val="20"/>
          <w:szCs w:val="20"/>
        </w:rPr>
        <w:t xml:space="preserve">Chapter 16 of the NPPF sets out the Government’s approach to conserving and enhancing the historic environment. Paragraph </w:t>
      </w:r>
      <w:r w:rsidR="00F45763">
        <w:rPr>
          <w:rFonts w:ascii="Arial" w:hAnsi="Arial" w:cs="Arial"/>
          <w:sz w:val="20"/>
          <w:szCs w:val="20"/>
        </w:rPr>
        <w:t>200</w:t>
      </w:r>
      <w:r w:rsidRPr="00DF74EE">
        <w:rPr>
          <w:rFonts w:ascii="Arial" w:hAnsi="Arial" w:cs="Arial"/>
          <w:sz w:val="20"/>
          <w:szCs w:val="20"/>
        </w:rPr>
        <w:t xml:space="preserve"> states that 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w:t>
      </w:r>
    </w:p>
    <w:p w14:paraId="4F04615D" w14:textId="77777777" w:rsidR="00D212AA" w:rsidRPr="00DF74EE" w:rsidRDefault="00D212AA" w:rsidP="003F0F60">
      <w:pPr>
        <w:pStyle w:val="ListParagraph"/>
        <w:ind w:right="274"/>
        <w:jc w:val="both"/>
        <w:rPr>
          <w:rFonts w:ascii="Arial" w:hAnsi="Arial" w:cs="Arial"/>
          <w:sz w:val="20"/>
          <w:szCs w:val="20"/>
        </w:rPr>
      </w:pPr>
    </w:p>
    <w:p w14:paraId="761807BF" w14:textId="30BA3705" w:rsidR="00D212AA" w:rsidRDefault="00D212AA" w:rsidP="003F0F60">
      <w:pPr>
        <w:pStyle w:val="ListParagraph"/>
        <w:numPr>
          <w:ilvl w:val="1"/>
          <w:numId w:val="14"/>
        </w:numPr>
        <w:autoSpaceDE w:val="0"/>
        <w:autoSpaceDN w:val="0"/>
        <w:adjustRightInd w:val="0"/>
        <w:ind w:left="567" w:right="274" w:hanging="567"/>
        <w:jc w:val="both"/>
        <w:rPr>
          <w:rFonts w:ascii="Arial" w:hAnsi="Arial" w:cs="Arial"/>
          <w:sz w:val="20"/>
          <w:szCs w:val="20"/>
        </w:rPr>
      </w:pPr>
      <w:r w:rsidRPr="00DF74EE">
        <w:rPr>
          <w:rFonts w:ascii="Arial" w:hAnsi="Arial" w:cs="Arial"/>
          <w:sz w:val="20"/>
          <w:szCs w:val="20"/>
        </w:rPr>
        <w:t xml:space="preserve">As per Paragraph </w:t>
      </w:r>
      <w:r w:rsidR="006832EC">
        <w:rPr>
          <w:rFonts w:ascii="Arial" w:hAnsi="Arial" w:cs="Arial"/>
          <w:sz w:val="20"/>
          <w:szCs w:val="20"/>
        </w:rPr>
        <w:t>203</w:t>
      </w:r>
      <w:r w:rsidRPr="00DF74EE">
        <w:rPr>
          <w:rFonts w:ascii="Arial" w:hAnsi="Arial" w:cs="Arial"/>
          <w:sz w:val="20"/>
          <w:szCs w:val="20"/>
        </w:rPr>
        <w:t xml:space="preserve"> of the NPPF, in determining applications, local planning authorities should take account of:</w:t>
      </w:r>
    </w:p>
    <w:p w14:paraId="12EE2EDD" w14:textId="77777777" w:rsidR="00D212AA" w:rsidRPr="005C7D97" w:rsidRDefault="00D212AA" w:rsidP="003F0F60">
      <w:pPr>
        <w:pStyle w:val="ListParagraph"/>
        <w:ind w:right="274"/>
        <w:jc w:val="both"/>
        <w:rPr>
          <w:rFonts w:ascii="Arial" w:hAnsi="Arial" w:cs="Arial"/>
          <w:sz w:val="20"/>
          <w:szCs w:val="20"/>
        </w:rPr>
      </w:pPr>
    </w:p>
    <w:p w14:paraId="56888D28" w14:textId="77777777" w:rsidR="00D212AA" w:rsidRDefault="00D212AA" w:rsidP="00D25173">
      <w:pPr>
        <w:pStyle w:val="ListParagraph"/>
        <w:numPr>
          <w:ilvl w:val="2"/>
          <w:numId w:val="21"/>
        </w:numPr>
        <w:autoSpaceDE w:val="0"/>
        <w:autoSpaceDN w:val="0"/>
        <w:adjustRightInd w:val="0"/>
        <w:ind w:left="1134" w:right="274" w:hanging="283"/>
        <w:jc w:val="both"/>
        <w:rPr>
          <w:rFonts w:ascii="Arial" w:hAnsi="Arial" w:cs="Arial"/>
          <w:color w:val="000000"/>
          <w:sz w:val="20"/>
          <w:szCs w:val="20"/>
        </w:rPr>
      </w:pPr>
      <w:r w:rsidRPr="005C7D97">
        <w:rPr>
          <w:rFonts w:ascii="Arial" w:hAnsi="Arial" w:cs="Arial"/>
          <w:color w:val="000000"/>
          <w:sz w:val="20"/>
          <w:szCs w:val="20"/>
        </w:rPr>
        <w:t>The desirability of sustaining and enhancing the significance of heritage assets and putting them to viable uses consistent with their conservation;</w:t>
      </w:r>
    </w:p>
    <w:p w14:paraId="3D4828E1" w14:textId="77777777" w:rsidR="00A377B9" w:rsidRPr="005C7D97" w:rsidRDefault="00A377B9" w:rsidP="00A377B9">
      <w:pPr>
        <w:pStyle w:val="ListParagraph"/>
        <w:autoSpaceDE w:val="0"/>
        <w:autoSpaceDN w:val="0"/>
        <w:adjustRightInd w:val="0"/>
        <w:ind w:left="1080" w:right="274"/>
        <w:jc w:val="both"/>
        <w:rPr>
          <w:rFonts w:ascii="Arial" w:hAnsi="Arial" w:cs="Arial"/>
          <w:color w:val="000000"/>
          <w:sz w:val="20"/>
          <w:szCs w:val="20"/>
        </w:rPr>
      </w:pPr>
    </w:p>
    <w:p w14:paraId="4F9C0C33" w14:textId="77777777" w:rsidR="00D212AA" w:rsidRDefault="00D212AA" w:rsidP="00D25173">
      <w:pPr>
        <w:pStyle w:val="ListParagraph"/>
        <w:numPr>
          <w:ilvl w:val="2"/>
          <w:numId w:val="21"/>
        </w:numPr>
        <w:autoSpaceDE w:val="0"/>
        <w:autoSpaceDN w:val="0"/>
        <w:adjustRightInd w:val="0"/>
        <w:ind w:right="274" w:hanging="229"/>
        <w:jc w:val="both"/>
        <w:rPr>
          <w:rFonts w:ascii="Arial" w:hAnsi="Arial" w:cs="Arial"/>
          <w:color w:val="000000"/>
          <w:sz w:val="20"/>
          <w:szCs w:val="20"/>
        </w:rPr>
      </w:pPr>
      <w:r w:rsidRPr="005C7D97">
        <w:rPr>
          <w:rFonts w:ascii="Arial" w:hAnsi="Arial" w:cs="Arial"/>
          <w:color w:val="000000"/>
          <w:sz w:val="20"/>
          <w:szCs w:val="20"/>
        </w:rPr>
        <w:t>The positive contribution that conservation of heritage assets can make to sustainable communities including their economic viability; and</w:t>
      </w:r>
    </w:p>
    <w:p w14:paraId="21587935" w14:textId="77777777" w:rsidR="00A377B9" w:rsidRPr="00A377B9" w:rsidRDefault="00A377B9" w:rsidP="00A377B9">
      <w:pPr>
        <w:autoSpaceDE w:val="0"/>
        <w:autoSpaceDN w:val="0"/>
        <w:adjustRightInd w:val="0"/>
        <w:ind w:right="274"/>
        <w:jc w:val="both"/>
        <w:rPr>
          <w:rFonts w:ascii="Arial" w:hAnsi="Arial" w:cs="Arial"/>
          <w:color w:val="000000"/>
          <w:sz w:val="20"/>
          <w:szCs w:val="20"/>
        </w:rPr>
      </w:pPr>
    </w:p>
    <w:p w14:paraId="308CE41C" w14:textId="77777777" w:rsidR="00D212AA" w:rsidRPr="005C7D97" w:rsidRDefault="00D212AA" w:rsidP="00D25173">
      <w:pPr>
        <w:pStyle w:val="ListParagraph"/>
        <w:numPr>
          <w:ilvl w:val="2"/>
          <w:numId w:val="21"/>
        </w:numPr>
        <w:autoSpaceDE w:val="0"/>
        <w:autoSpaceDN w:val="0"/>
        <w:adjustRightInd w:val="0"/>
        <w:ind w:right="274" w:hanging="229"/>
        <w:jc w:val="both"/>
        <w:rPr>
          <w:rFonts w:ascii="Arial" w:hAnsi="Arial" w:cs="Arial"/>
          <w:color w:val="000000"/>
          <w:sz w:val="20"/>
          <w:szCs w:val="20"/>
        </w:rPr>
      </w:pPr>
      <w:r w:rsidRPr="005C7D97">
        <w:rPr>
          <w:rFonts w:ascii="Arial" w:hAnsi="Arial" w:cs="Arial"/>
          <w:color w:val="000000"/>
          <w:sz w:val="20"/>
          <w:szCs w:val="20"/>
        </w:rPr>
        <w:t xml:space="preserve">The desirability of new development making a positive contribution to local character and distinctiveness. </w:t>
      </w:r>
    </w:p>
    <w:p w14:paraId="2817C902" w14:textId="77777777" w:rsidR="00D212AA" w:rsidRPr="00AF641A" w:rsidRDefault="00D212AA" w:rsidP="003F0F60">
      <w:pPr>
        <w:pStyle w:val="ListParagraph"/>
        <w:autoSpaceDE w:val="0"/>
        <w:autoSpaceDN w:val="0"/>
        <w:adjustRightInd w:val="0"/>
        <w:ind w:left="1080" w:right="274"/>
        <w:jc w:val="both"/>
        <w:rPr>
          <w:rFonts w:ascii="Arial" w:hAnsi="Arial" w:cs="Arial"/>
          <w:color w:val="000000"/>
          <w:sz w:val="20"/>
          <w:szCs w:val="20"/>
        </w:rPr>
      </w:pPr>
    </w:p>
    <w:p w14:paraId="2A9FFFA5" w14:textId="47E11B82" w:rsidR="005851DB" w:rsidRPr="005851DB" w:rsidRDefault="005851DB" w:rsidP="005851DB">
      <w:pPr>
        <w:pStyle w:val="ListParagraph"/>
        <w:numPr>
          <w:ilvl w:val="1"/>
          <w:numId w:val="14"/>
        </w:numPr>
        <w:autoSpaceDE w:val="0"/>
        <w:autoSpaceDN w:val="0"/>
        <w:adjustRightInd w:val="0"/>
        <w:ind w:left="567" w:right="274" w:hanging="567"/>
        <w:jc w:val="both"/>
        <w:rPr>
          <w:rFonts w:ascii="Arial" w:hAnsi="Arial" w:cs="Arial"/>
          <w:sz w:val="20"/>
          <w:szCs w:val="20"/>
        </w:rPr>
      </w:pPr>
      <w:r w:rsidRPr="005851DB">
        <w:rPr>
          <w:rFonts w:ascii="Arial" w:hAnsi="Arial" w:cs="Arial"/>
          <w:sz w:val="20"/>
          <w:szCs w:val="20"/>
        </w:rPr>
        <w:t xml:space="preserve">Paragraph </w:t>
      </w:r>
      <w:r w:rsidR="00636301">
        <w:rPr>
          <w:rFonts w:ascii="Arial" w:hAnsi="Arial" w:cs="Arial"/>
          <w:sz w:val="20"/>
          <w:szCs w:val="20"/>
        </w:rPr>
        <w:t>205</w:t>
      </w:r>
      <w:r w:rsidRPr="005851DB">
        <w:rPr>
          <w:rFonts w:ascii="Arial" w:hAnsi="Arial" w:cs="Arial"/>
          <w:sz w:val="20"/>
          <w:szCs w:val="20"/>
        </w:rPr>
        <w:t xml:space="preserve"> of the NPPF supports that </w:t>
      </w:r>
      <w:r w:rsidRPr="005851DB">
        <w:rPr>
          <w:rFonts w:ascii="Arial" w:hAnsi="Arial" w:cs="Arial"/>
          <w:i/>
          <w:iCs/>
          <w:sz w:val="20"/>
          <w:szCs w:val="20"/>
        </w:rPr>
        <w:t>‘’when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w:t>
      </w:r>
    </w:p>
    <w:p w14:paraId="63C1A9CB" w14:textId="77777777" w:rsidR="00D212AA" w:rsidRDefault="00D212AA" w:rsidP="003F0F60">
      <w:pPr>
        <w:pStyle w:val="ListParagraph"/>
        <w:autoSpaceDE w:val="0"/>
        <w:autoSpaceDN w:val="0"/>
        <w:adjustRightInd w:val="0"/>
        <w:ind w:left="567" w:right="274"/>
        <w:jc w:val="both"/>
        <w:rPr>
          <w:rFonts w:ascii="Arial" w:hAnsi="Arial" w:cs="Arial"/>
          <w:sz w:val="20"/>
          <w:szCs w:val="20"/>
        </w:rPr>
      </w:pPr>
    </w:p>
    <w:p w14:paraId="28272E56" w14:textId="30A5E33F" w:rsidR="00F75562" w:rsidRDefault="00F75562" w:rsidP="00F75562">
      <w:pPr>
        <w:pStyle w:val="ListParagraph"/>
        <w:numPr>
          <w:ilvl w:val="1"/>
          <w:numId w:val="14"/>
        </w:numPr>
        <w:autoSpaceDE w:val="0"/>
        <w:autoSpaceDN w:val="0"/>
        <w:adjustRightInd w:val="0"/>
        <w:ind w:left="567" w:right="274" w:hanging="567"/>
        <w:jc w:val="both"/>
        <w:rPr>
          <w:rFonts w:ascii="Arial" w:hAnsi="Arial" w:cs="Arial"/>
          <w:sz w:val="20"/>
          <w:szCs w:val="20"/>
        </w:rPr>
      </w:pPr>
      <w:r w:rsidRPr="00F75562">
        <w:rPr>
          <w:rFonts w:ascii="Arial" w:hAnsi="Arial" w:cs="Arial"/>
          <w:sz w:val="20"/>
          <w:szCs w:val="20"/>
        </w:rPr>
        <w:t>Paragraph 20</w:t>
      </w:r>
      <w:r w:rsidR="00D30B1B">
        <w:rPr>
          <w:rFonts w:ascii="Arial" w:hAnsi="Arial" w:cs="Arial"/>
          <w:sz w:val="20"/>
          <w:szCs w:val="20"/>
        </w:rPr>
        <w:t xml:space="preserve">7 </w:t>
      </w:r>
      <w:r w:rsidRPr="00F75562">
        <w:rPr>
          <w:rFonts w:ascii="Arial" w:hAnsi="Arial" w:cs="Arial"/>
          <w:sz w:val="20"/>
          <w:szCs w:val="20"/>
        </w:rPr>
        <w:t xml:space="preserve">of the NPPF states that 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w:t>
      </w:r>
    </w:p>
    <w:p w14:paraId="51CFE3B4" w14:textId="77777777" w:rsidR="006B6B70" w:rsidRPr="006B6B70" w:rsidRDefault="006B6B70" w:rsidP="006B6B70">
      <w:pPr>
        <w:pStyle w:val="ListParagraph"/>
        <w:rPr>
          <w:rFonts w:ascii="Arial" w:hAnsi="Arial" w:cs="Arial"/>
          <w:sz w:val="20"/>
          <w:szCs w:val="20"/>
        </w:rPr>
      </w:pPr>
    </w:p>
    <w:p w14:paraId="41D2DF5E" w14:textId="7B95A8C7" w:rsidR="006B6B70" w:rsidRDefault="005365FD" w:rsidP="00F75562">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Under Paragraph 20</w:t>
      </w:r>
      <w:r w:rsidR="00425AF2">
        <w:rPr>
          <w:rFonts w:ascii="Arial" w:hAnsi="Arial" w:cs="Arial"/>
          <w:sz w:val="20"/>
          <w:szCs w:val="20"/>
        </w:rPr>
        <w:t>8</w:t>
      </w:r>
      <w:r>
        <w:rPr>
          <w:rFonts w:ascii="Arial" w:hAnsi="Arial" w:cs="Arial"/>
          <w:sz w:val="20"/>
          <w:szCs w:val="20"/>
        </w:rPr>
        <w:t xml:space="preserve"> of the NPPF</w:t>
      </w:r>
      <w:r w:rsidR="003151E2">
        <w:rPr>
          <w:rFonts w:ascii="Arial" w:hAnsi="Arial" w:cs="Arial"/>
          <w:sz w:val="20"/>
          <w:szCs w:val="20"/>
        </w:rPr>
        <w:t xml:space="preserve"> </w:t>
      </w:r>
      <w:r w:rsidR="00EF41F3" w:rsidRPr="00EF41F3">
        <w:rPr>
          <w:rFonts w:ascii="Arial" w:hAnsi="Arial" w:cs="Arial"/>
          <w:i/>
          <w:iCs/>
          <w:sz w:val="20"/>
          <w:szCs w:val="20"/>
        </w:rPr>
        <w:t>“</w:t>
      </w:r>
      <w:r w:rsidR="003151E2" w:rsidRPr="00EF41F3">
        <w:rPr>
          <w:rFonts w:ascii="Arial" w:hAnsi="Arial" w:cs="Arial"/>
          <w:i/>
          <w:iCs/>
          <w:sz w:val="20"/>
          <w:szCs w:val="20"/>
        </w:rPr>
        <w:t>where a development proposal will lead to less than substantial harm to the significance of a designated heritage asset, this harm should be weighed against the public benefits of the proposal including, where appropriate, securing its optimum viable use.</w:t>
      </w:r>
      <w:r w:rsidR="00EF41F3" w:rsidRPr="00EF41F3">
        <w:rPr>
          <w:rFonts w:ascii="Arial" w:hAnsi="Arial" w:cs="Arial"/>
          <w:i/>
          <w:iCs/>
          <w:sz w:val="20"/>
          <w:szCs w:val="20"/>
        </w:rPr>
        <w:t>”</w:t>
      </w:r>
    </w:p>
    <w:p w14:paraId="69BEEE8F" w14:textId="77777777" w:rsidR="00436CF2" w:rsidRPr="00D37A1F" w:rsidRDefault="00436CF2" w:rsidP="00D37A1F">
      <w:pPr>
        <w:autoSpaceDE w:val="0"/>
        <w:autoSpaceDN w:val="0"/>
        <w:adjustRightInd w:val="0"/>
        <w:ind w:right="274"/>
        <w:jc w:val="both"/>
        <w:rPr>
          <w:rFonts w:ascii="Arial" w:hAnsi="Arial" w:cs="Arial"/>
          <w:b/>
          <w:bCs/>
          <w:color w:val="1BA3B1"/>
          <w:sz w:val="20"/>
          <w:szCs w:val="20"/>
        </w:rPr>
      </w:pPr>
    </w:p>
    <w:p w14:paraId="4118694E" w14:textId="087E20DA" w:rsidR="00EB2873" w:rsidRPr="00DD0577" w:rsidRDefault="00DA7F63" w:rsidP="00DA7F63">
      <w:pPr>
        <w:pStyle w:val="ListParagraph"/>
        <w:autoSpaceDE w:val="0"/>
        <w:autoSpaceDN w:val="0"/>
        <w:adjustRightInd w:val="0"/>
        <w:ind w:left="567" w:right="274"/>
        <w:jc w:val="both"/>
        <w:rPr>
          <w:rFonts w:ascii="Arial" w:hAnsi="Arial" w:cs="Arial"/>
          <w:b/>
          <w:bCs/>
          <w:color w:val="1BA3B1"/>
          <w:sz w:val="20"/>
          <w:szCs w:val="20"/>
        </w:rPr>
      </w:pPr>
      <w:r w:rsidRPr="00DD0577">
        <w:rPr>
          <w:rFonts w:ascii="Arial" w:hAnsi="Arial" w:cs="Arial"/>
          <w:b/>
          <w:bCs/>
          <w:color w:val="1BA3B1"/>
          <w:sz w:val="20"/>
          <w:szCs w:val="20"/>
        </w:rPr>
        <w:t xml:space="preserve">Local Policy </w:t>
      </w:r>
    </w:p>
    <w:p w14:paraId="2369CCF7" w14:textId="77777777" w:rsidR="00867CE4" w:rsidRPr="00867CE4" w:rsidRDefault="00867CE4" w:rsidP="00867CE4">
      <w:pPr>
        <w:pStyle w:val="ListParagraph"/>
        <w:rPr>
          <w:rFonts w:ascii="Arial" w:hAnsi="Arial" w:cs="Arial"/>
          <w:sz w:val="20"/>
          <w:szCs w:val="20"/>
        </w:rPr>
      </w:pPr>
    </w:p>
    <w:p w14:paraId="5BFCEC5D" w14:textId="6C3DC81E" w:rsidR="003407F1" w:rsidRDefault="008F11B8" w:rsidP="0041703A">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London Plan </w:t>
      </w:r>
      <w:r w:rsidR="003407F1" w:rsidRPr="003407F1">
        <w:rPr>
          <w:rFonts w:ascii="Arial" w:hAnsi="Arial" w:cs="Arial"/>
          <w:sz w:val="20"/>
          <w:szCs w:val="20"/>
        </w:rPr>
        <w:t xml:space="preserve">Policy </w:t>
      </w:r>
      <w:r w:rsidR="00F1760F">
        <w:rPr>
          <w:rFonts w:ascii="Arial" w:hAnsi="Arial" w:cs="Arial"/>
          <w:sz w:val="20"/>
          <w:szCs w:val="20"/>
        </w:rPr>
        <w:t xml:space="preserve">HC1 </w:t>
      </w:r>
      <w:r w:rsidR="00DF7E99" w:rsidRPr="00DF7E99">
        <w:rPr>
          <w:rFonts w:ascii="Arial" w:hAnsi="Arial" w:cs="Arial"/>
          <w:sz w:val="20"/>
          <w:szCs w:val="20"/>
        </w:rPr>
        <w:t>deals with heritage conservation and growth and notes, at part C, that development proposals affecting heritage assets, and their settings, should conserve their significance, by being sympathetic to the assets’ significance and appreciation within their surroundings.</w:t>
      </w:r>
    </w:p>
    <w:p w14:paraId="5CCC7DDE" w14:textId="77777777" w:rsidR="004F363A" w:rsidRDefault="004F363A" w:rsidP="004F363A">
      <w:pPr>
        <w:pStyle w:val="ListParagraph"/>
        <w:autoSpaceDE w:val="0"/>
        <w:autoSpaceDN w:val="0"/>
        <w:adjustRightInd w:val="0"/>
        <w:ind w:left="567" w:right="274"/>
        <w:jc w:val="both"/>
        <w:rPr>
          <w:rFonts w:ascii="Arial" w:hAnsi="Arial" w:cs="Arial"/>
          <w:sz w:val="20"/>
          <w:szCs w:val="20"/>
        </w:rPr>
      </w:pPr>
    </w:p>
    <w:p w14:paraId="1E1D876E" w14:textId="34B37B5B" w:rsidR="004F363A" w:rsidRDefault="00976AF4" w:rsidP="00D339E3">
      <w:pPr>
        <w:pStyle w:val="ListParagraph"/>
        <w:numPr>
          <w:ilvl w:val="1"/>
          <w:numId w:val="14"/>
        </w:numPr>
        <w:autoSpaceDE w:val="0"/>
        <w:autoSpaceDN w:val="0"/>
        <w:adjustRightInd w:val="0"/>
        <w:ind w:left="567" w:right="274" w:hanging="567"/>
        <w:jc w:val="both"/>
        <w:rPr>
          <w:rFonts w:ascii="Arial" w:hAnsi="Arial" w:cs="Arial"/>
          <w:sz w:val="20"/>
          <w:szCs w:val="20"/>
        </w:rPr>
      </w:pPr>
      <w:r w:rsidRPr="00976AF4">
        <w:rPr>
          <w:rFonts w:ascii="Arial" w:hAnsi="Arial" w:cs="Arial"/>
          <w:sz w:val="20"/>
          <w:szCs w:val="20"/>
        </w:rPr>
        <w:t>Policy D2 of the Local Plan relates to heritage and notes that the Council will preserve and, where appropriate, enhance Camden’s rich and diverse heritage assets and their settings, including conservation areas</w:t>
      </w:r>
    </w:p>
    <w:p w14:paraId="31805CC5" w14:textId="77777777" w:rsidR="00976AF4" w:rsidRPr="004F363A" w:rsidRDefault="00976AF4" w:rsidP="00D339E3">
      <w:pPr>
        <w:pStyle w:val="ListParagraph"/>
        <w:autoSpaceDE w:val="0"/>
        <w:autoSpaceDN w:val="0"/>
        <w:adjustRightInd w:val="0"/>
        <w:ind w:left="567" w:right="274"/>
        <w:jc w:val="both"/>
        <w:rPr>
          <w:rFonts w:ascii="Arial" w:hAnsi="Arial" w:cs="Arial"/>
          <w:sz w:val="20"/>
          <w:szCs w:val="20"/>
        </w:rPr>
      </w:pPr>
    </w:p>
    <w:p w14:paraId="1A16F944" w14:textId="5E1127E2" w:rsidR="004F363A" w:rsidRDefault="00B40772" w:rsidP="00D339E3">
      <w:pPr>
        <w:pStyle w:val="ListParagraph"/>
        <w:numPr>
          <w:ilvl w:val="1"/>
          <w:numId w:val="14"/>
        </w:numPr>
        <w:autoSpaceDE w:val="0"/>
        <w:autoSpaceDN w:val="0"/>
        <w:adjustRightInd w:val="0"/>
        <w:ind w:left="567" w:right="274" w:hanging="567"/>
        <w:jc w:val="both"/>
        <w:rPr>
          <w:rFonts w:ascii="Arial" w:hAnsi="Arial" w:cs="Arial"/>
          <w:sz w:val="20"/>
          <w:szCs w:val="20"/>
        </w:rPr>
      </w:pPr>
      <w:r w:rsidRPr="00B40772">
        <w:rPr>
          <w:rFonts w:ascii="Arial" w:hAnsi="Arial" w:cs="Arial"/>
          <w:sz w:val="20"/>
          <w:szCs w:val="20"/>
        </w:rPr>
        <w:t>The Council will not permit the loss of or substantial harm to a designated heritage asset, including conservation areas, unless it can be demonstrated that the substantial harm or loss is necessary to achieve substantial public benefits that outweigh that harm or loss</w:t>
      </w:r>
    </w:p>
    <w:p w14:paraId="65D03A4C" w14:textId="77777777" w:rsidR="00B40772" w:rsidRPr="004F363A" w:rsidRDefault="00B40772" w:rsidP="00D339E3">
      <w:pPr>
        <w:pStyle w:val="ListParagraph"/>
        <w:autoSpaceDE w:val="0"/>
        <w:autoSpaceDN w:val="0"/>
        <w:adjustRightInd w:val="0"/>
        <w:ind w:left="567" w:right="274"/>
        <w:jc w:val="both"/>
        <w:rPr>
          <w:rFonts w:ascii="Arial" w:hAnsi="Arial" w:cs="Arial"/>
          <w:sz w:val="20"/>
          <w:szCs w:val="20"/>
        </w:rPr>
      </w:pPr>
    </w:p>
    <w:p w14:paraId="52E3938B" w14:textId="4111EA9D" w:rsidR="00DF7E99" w:rsidRPr="00D339E3" w:rsidRDefault="00D339E3" w:rsidP="00D339E3">
      <w:pPr>
        <w:pStyle w:val="ListParagraph"/>
        <w:numPr>
          <w:ilvl w:val="1"/>
          <w:numId w:val="14"/>
        </w:numPr>
        <w:autoSpaceDE w:val="0"/>
        <w:autoSpaceDN w:val="0"/>
        <w:adjustRightInd w:val="0"/>
        <w:ind w:left="567" w:right="274" w:hanging="567"/>
        <w:jc w:val="both"/>
        <w:rPr>
          <w:rFonts w:ascii="Arial" w:hAnsi="Arial" w:cs="Arial"/>
          <w:sz w:val="20"/>
          <w:szCs w:val="20"/>
        </w:rPr>
      </w:pPr>
      <w:r w:rsidRPr="00D339E3">
        <w:rPr>
          <w:rFonts w:ascii="Arial" w:hAnsi="Arial" w:cs="Arial"/>
          <w:sz w:val="20"/>
          <w:szCs w:val="20"/>
        </w:rPr>
        <w:t>Policy 3 of the Neighbourhood Plan notes that development that enhances or preserves Conservations Areas and heritage assets in the Area – as well as their distinct character, appearance, and setting – will be supported</w:t>
      </w:r>
    </w:p>
    <w:p w14:paraId="189D8773" w14:textId="2703AEA1" w:rsidR="00E87F47" w:rsidRPr="00A0329A" w:rsidRDefault="003A4512" w:rsidP="00A0329A">
      <w:pPr>
        <w:pStyle w:val="Chromasubheadingnumbered"/>
        <w:rPr>
          <w:rFonts w:hint="eastAsia"/>
        </w:rPr>
      </w:pPr>
      <w:r w:rsidRPr="003A4512">
        <w:t xml:space="preserve">Assessment </w:t>
      </w:r>
      <w:r w:rsidR="0084626D">
        <w:t xml:space="preserve">of Significance </w:t>
      </w:r>
    </w:p>
    <w:p w14:paraId="28EEF862" w14:textId="2DD17317" w:rsidR="00D212AA" w:rsidRDefault="00707627" w:rsidP="003F0F60">
      <w:pPr>
        <w:pStyle w:val="ListParagraph"/>
        <w:numPr>
          <w:ilvl w:val="1"/>
          <w:numId w:val="14"/>
        </w:numPr>
        <w:autoSpaceDE w:val="0"/>
        <w:autoSpaceDN w:val="0"/>
        <w:adjustRightInd w:val="0"/>
        <w:ind w:left="567" w:right="274" w:hanging="567"/>
        <w:jc w:val="both"/>
        <w:rPr>
          <w:rFonts w:ascii="Arial" w:hAnsi="Arial" w:cs="Arial"/>
          <w:sz w:val="20"/>
          <w:szCs w:val="20"/>
        </w:rPr>
      </w:pPr>
      <w:r w:rsidRPr="00707627">
        <w:rPr>
          <w:rFonts w:ascii="Arial" w:hAnsi="Arial" w:cs="Arial"/>
          <w:sz w:val="20"/>
          <w:szCs w:val="20"/>
        </w:rPr>
        <w:t>The first matter for consideration is to identify the significance of the Heritage Asset. In this instance it must cover the designated heritage asset of the Conservation Area</w:t>
      </w:r>
      <w:r w:rsidR="00D13D2B">
        <w:rPr>
          <w:rFonts w:ascii="Arial" w:hAnsi="Arial" w:cs="Arial"/>
          <w:sz w:val="20"/>
          <w:szCs w:val="20"/>
        </w:rPr>
        <w:t>,</w:t>
      </w:r>
      <w:r w:rsidR="00EB717C">
        <w:rPr>
          <w:rFonts w:ascii="Arial" w:hAnsi="Arial" w:cs="Arial"/>
          <w:sz w:val="20"/>
          <w:szCs w:val="20"/>
        </w:rPr>
        <w:t xml:space="preserve"> and the non-designated heritage asset </w:t>
      </w:r>
      <w:r w:rsidR="00D13D2B">
        <w:rPr>
          <w:rFonts w:ascii="Arial" w:hAnsi="Arial" w:cs="Arial"/>
          <w:sz w:val="20"/>
          <w:szCs w:val="20"/>
        </w:rPr>
        <w:t xml:space="preserve">– the </w:t>
      </w:r>
      <w:r w:rsidR="0072152C">
        <w:rPr>
          <w:rFonts w:ascii="Arial" w:hAnsi="Arial" w:cs="Arial"/>
          <w:sz w:val="20"/>
          <w:szCs w:val="20"/>
        </w:rPr>
        <w:t xml:space="preserve">positive contribution </w:t>
      </w:r>
      <w:r w:rsidR="00544B58">
        <w:rPr>
          <w:rFonts w:ascii="Arial" w:hAnsi="Arial" w:cs="Arial"/>
          <w:sz w:val="20"/>
          <w:szCs w:val="20"/>
        </w:rPr>
        <w:t xml:space="preserve">of the building to the Conservation Area. </w:t>
      </w:r>
    </w:p>
    <w:p w14:paraId="5C059DE4" w14:textId="77777777" w:rsidR="00E87F47" w:rsidRPr="00C260FF" w:rsidRDefault="00E87F47" w:rsidP="00C260FF">
      <w:pPr>
        <w:rPr>
          <w:rFonts w:ascii="Arial" w:hAnsi="Arial" w:cs="Arial"/>
          <w:sz w:val="20"/>
          <w:szCs w:val="20"/>
        </w:rPr>
      </w:pPr>
    </w:p>
    <w:p w14:paraId="6C0ED18E" w14:textId="024251B1" w:rsidR="00BB1D27" w:rsidRPr="008E540B" w:rsidRDefault="001C0553" w:rsidP="008E540B">
      <w:pPr>
        <w:pStyle w:val="ListParagraph"/>
        <w:numPr>
          <w:ilvl w:val="1"/>
          <w:numId w:val="14"/>
        </w:numPr>
        <w:autoSpaceDE w:val="0"/>
        <w:autoSpaceDN w:val="0"/>
        <w:adjustRightInd w:val="0"/>
        <w:ind w:left="567" w:right="274" w:hanging="567"/>
        <w:jc w:val="both"/>
        <w:rPr>
          <w:rFonts w:ascii="Arial" w:hAnsi="Arial" w:cs="Arial"/>
          <w:sz w:val="20"/>
          <w:szCs w:val="20"/>
        </w:rPr>
      </w:pPr>
      <w:r w:rsidRPr="001C0553">
        <w:rPr>
          <w:rFonts w:ascii="Arial" w:hAnsi="Arial" w:cs="Arial"/>
          <w:sz w:val="20"/>
          <w:szCs w:val="20"/>
        </w:rPr>
        <w:t xml:space="preserve">Secondly </w:t>
      </w:r>
      <w:r w:rsidRPr="00BB1D27">
        <w:rPr>
          <w:rFonts w:ascii="Arial" w:hAnsi="Arial" w:cs="Arial"/>
          <w:sz w:val="20"/>
          <w:szCs w:val="20"/>
        </w:rPr>
        <w:t xml:space="preserve">an assessment of any harm arising from the proposals on the designated </w:t>
      </w:r>
      <w:r w:rsidR="00C65AE9" w:rsidRPr="00BB1D27">
        <w:rPr>
          <w:rFonts w:ascii="Arial" w:hAnsi="Arial" w:cs="Arial"/>
          <w:sz w:val="20"/>
          <w:szCs w:val="20"/>
        </w:rPr>
        <w:t xml:space="preserve">Heritage </w:t>
      </w:r>
      <w:r w:rsidRPr="00BB1D27">
        <w:rPr>
          <w:rFonts w:ascii="Arial" w:hAnsi="Arial" w:cs="Arial"/>
          <w:sz w:val="20"/>
          <w:szCs w:val="20"/>
        </w:rPr>
        <w:t>Asset</w:t>
      </w:r>
      <w:r w:rsidR="002C5B89" w:rsidRPr="00BB1D27">
        <w:rPr>
          <w:rFonts w:ascii="Arial" w:hAnsi="Arial" w:cs="Arial"/>
          <w:sz w:val="20"/>
          <w:szCs w:val="20"/>
        </w:rPr>
        <w:t xml:space="preserve">s </w:t>
      </w:r>
      <w:r w:rsidRPr="00BB1D27">
        <w:rPr>
          <w:rFonts w:ascii="Arial" w:hAnsi="Arial" w:cs="Arial"/>
          <w:sz w:val="20"/>
          <w:szCs w:val="20"/>
        </w:rPr>
        <w:t xml:space="preserve">needs to be considered (NPPF paragraphs </w:t>
      </w:r>
      <w:r w:rsidR="00704D30">
        <w:rPr>
          <w:rFonts w:ascii="Arial" w:hAnsi="Arial" w:cs="Arial"/>
          <w:sz w:val="20"/>
          <w:szCs w:val="20"/>
        </w:rPr>
        <w:t>200-201</w:t>
      </w:r>
      <w:r w:rsidRPr="00BB1D27">
        <w:rPr>
          <w:rFonts w:ascii="Arial" w:hAnsi="Arial" w:cs="Arial"/>
          <w:sz w:val="20"/>
          <w:szCs w:val="20"/>
        </w:rPr>
        <w:t xml:space="preserve">). In doing so a balanced judgement will be required having regard to the scale of any harm or loss and the significance of the Heritage Asset (NPPF paragraph </w:t>
      </w:r>
      <w:r w:rsidR="0062570A" w:rsidRPr="00BB1D27">
        <w:rPr>
          <w:rFonts w:ascii="Arial" w:hAnsi="Arial" w:cs="Arial"/>
          <w:sz w:val="20"/>
          <w:szCs w:val="20"/>
        </w:rPr>
        <w:t>20</w:t>
      </w:r>
      <w:r w:rsidR="00CF7CC5">
        <w:rPr>
          <w:rFonts w:ascii="Arial" w:hAnsi="Arial" w:cs="Arial"/>
          <w:sz w:val="20"/>
          <w:szCs w:val="20"/>
        </w:rPr>
        <w:t>8</w:t>
      </w:r>
      <w:r w:rsidRPr="00BB1D27">
        <w:rPr>
          <w:rFonts w:ascii="Arial" w:hAnsi="Arial" w:cs="Arial"/>
          <w:sz w:val="20"/>
          <w:szCs w:val="20"/>
        </w:rPr>
        <w:t xml:space="preserve">). </w:t>
      </w:r>
    </w:p>
    <w:p w14:paraId="22EB58C2" w14:textId="77777777" w:rsidR="00F12AD2" w:rsidRDefault="00F12AD2" w:rsidP="00D04966">
      <w:pPr>
        <w:autoSpaceDE w:val="0"/>
        <w:autoSpaceDN w:val="0"/>
        <w:adjustRightInd w:val="0"/>
        <w:ind w:right="274"/>
        <w:jc w:val="both"/>
        <w:rPr>
          <w:rFonts w:ascii="Arial" w:hAnsi="Arial" w:cs="Arial"/>
          <w:b/>
          <w:bCs/>
          <w:color w:val="1BA3B1"/>
          <w:sz w:val="20"/>
          <w:szCs w:val="20"/>
        </w:rPr>
      </w:pPr>
    </w:p>
    <w:p w14:paraId="6A89BDAF" w14:textId="77777777" w:rsidR="00655398" w:rsidRDefault="00655398" w:rsidP="00D04966">
      <w:pPr>
        <w:autoSpaceDE w:val="0"/>
        <w:autoSpaceDN w:val="0"/>
        <w:adjustRightInd w:val="0"/>
        <w:ind w:right="274"/>
        <w:jc w:val="both"/>
        <w:rPr>
          <w:rFonts w:ascii="Arial" w:hAnsi="Arial" w:cs="Arial"/>
          <w:b/>
          <w:bCs/>
          <w:color w:val="1BA3B1"/>
          <w:sz w:val="20"/>
          <w:szCs w:val="20"/>
        </w:rPr>
      </w:pPr>
    </w:p>
    <w:p w14:paraId="64F205C9" w14:textId="77777777" w:rsidR="00655398" w:rsidRDefault="00655398" w:rsidP="00D04966">
      <w:pPr>
        <w:autoSpaceDE w:val="0"/>
        <w:autoSpaceDN w:val="0"/>
        <w:adjustRightInd w:val="0"/>
        <w:ind w:right="274"/>
        <w:jc w:val="both"/>
        <w:rPr>
          <w:rFonts w:ascii="Arial" w:hAnsi="Arial" w:cs="Arial"/>
          <w:b/>
          <w:bCs/>
          <w:color w:val="1BA3B1"/>
          <w:sz w:val="20"/>
          <w:szCs w:val="20"/>
        </w:rPr>
      </w:pPr>
    </w:p>
    <w:p w14:paraId="082DCD9F" w14:textId="77777777" w:rsidR="00655398" w:rsidRDefault="00655398" w:rsidP="00D04966">
      <w:pPr>
        <w:autoSpaceDE w:val="0"/>
        <w:autoSpaceDN w:val="0"/>
        <w:adjustRightInd w:val="0"/>
        <w:ind w:right="274"/>
        <w:jc w:val="both"/>
        <w:rPr>
          <w:rFonts w:ascii="Arial" w:hAnsi="Arial" w:cs="Arial"/>
          <w:b/>
          <w:bCs/>
          <w:color w:val="1BA3B1"/>
          <w:sz w:val="20"/>
          <w:szCs w:val="20"/>
        </w:rPr>
      </w:pPr>
    </w:p>
    <w:p w14:paraId="1060F09B" w14:textId="77777777" w:rsidR="00655398" w:rsidRPr="00D04966" w:rsidRDefault="00655398" w:rsidP="00D04966">
      <w:pPr>
        <w:autoSpaceDE w:val="0"/>
        <w:autoSpaceDN w:val="0"/>
        <w:adjustRightInd w:val="0"/>
        <w:ind w:right="274"/>
        <w:jc w:val="both"/>
        <w:rPr>
          <w:rFonts w:ascii="Arial" w:hAnsi="Arial" w:cs="Arial"/>
          <w:b/>
          <w:bCs/>
          <w:color w:val="1BA3B1"/>
          <w:sz w:val="20"/>
          <w:szCs w:val="20"/>
        </w:rPr>
      </w:pPr>
    </w:p>
    <w:p w14:paraId="300DCEFA" w14:textId="314B992D" w:rsidR="00C260FF" w:rsidRPr="00DD0577" w:rsidRDefault="00C260FF" w:rsidP="00C260FF">
      <w:pPr>
        <w:pStyle w:val="ListParagraph"/>
        <w:autoSpaceDE w:val="0"/>
        <w:autoSpaceDN w:val="0"/>
        <w:adjustRightInd w:val="0"/>
        <w:ind w:left="567" w:right="274"/>
        <w:jc w:val="both"/>
        <w:rPr>
          <w:rFonts w:ascii="Arial" w:hAnsi="Arial" w:cs="Arial"/>
          <w:b/>
          <w:bCs/>
          <w:color w:val="1BA3B1"/>
          <w:sz w:val="20"/>
          <w:szCs w:val="20"/>
        </w:rPr>
      </w:pPr>
      <w:r w:rsidRPr="00DD0577">
        <w:rPr>
          <w:rFonts w:ascii="Arial" w:hAnsi="Arial" w:cs="Arial"/>
          <w:b/>
          <w:bCs/>
          <w:color w:val="1BA3B1"/>
          <w:sz w:val="20"/>
          <w:szCs w:val="20"/>
        </w:rPr>
        <w:lastRenderedPageBreak/>
        <w:t xml:space="preserve">Significance of the Heritage Asset </w:t>
      </w:r>
    </w:p>
    <w:p w14:paraId="56C0C28F" w14:textId="77777777" w:rsidR="00D10F88" w:rsidRPr="00034B46" w:rsidRDefault="00D10F88" w:rsidP="00034B46">
      <w:pPr>
        <w:rPr>
          <w:rFonts w:ascii="Arial" w:hAnsi="Arial" w:cs="Arial"/>
          <w:sz w:val="20"/>
          <w:szCs w:val="20"/>
        </w:rPr>
      </w:pPr>
    </w:p>
    <w:p w14:paraId="570E32D4" w14:textId="761BAA63" w:rsidR="00D10F88" w:rsidRPr="00DD0577" w:rsidRDefault="00EC077E" w:rsidP="00563A9D">
      <w:pPr>
        <w:pStyle w:val="ListParagraph"/>
        <w:autoSpaceDE w:val="0"/>
        <w:autoSpaceDN w:val="0"/>
        <w:adjustRightInd w:val="0"/>
        <w:ind w:left="567" w:right="274"/>
        <w:jc w:val="both"/>
        <w:rPr>
          <w:rFonts w:ascii="Arial" w:hAnsi="Arial" w:cs="Arial"/>
          <w:b/>
          <w:bCs/>
          <w:i/>
          <w:iCs/>
          <w:color w:val="1BA3B1"/>
          <w:sz w:val="20"/>
          <w:szCs w:val="20"/>
        </w:rPr>
      </w:pPr>
      <w:r>
        <w:rPr>
          <w:rFonts w:ascii="Arial" w:hAnsi="Arial" w:cs="Arial"/>
          <w:b/>
          <w:bCs/>
          <w:i/>
          <w:iCs/>
          <w:color w:val="1BA3B1"/>
          <w:sz w:val="20"/>
          <w:szCs w:val="20"/>
        </w:rPr>
        <w:t xml:space="preserve">Designated Heritage Asset - </w:t>
      </w:r>
      <w:r w:rsidR="005038E9">
        <w:rPr>
          <w:rFonts w:ascii="Arial" w:hAnsi="Arial" w:cs="Arial"/>
          <w:b/>
          <w:bCs/>
          <w:i/>
          <w:iCs/>
          <w:color w:val="1BA3B1"/>
          <w:sz w:val="20"/>
          <w:szCs w:val="20"/>
        </w:rPr>
        <w:t>West End Green</w:t>
      </w:r>
      <w:r w:rsidR="00D04966">
        <w:rPr>
          <w:rFonts w:ascii="Arial" w:hAnsi="Arial" w:cs="Arial"/>
          <w:b/>
          <w:bCs/>
          <w:i/>
          <w:iCs/>
          <w:color w:val="1BA3B1"/>
          <w:sz w:val="20"/>
          <w:szCs w:val="20"/>
        </w:rPr>
        <w:t xml:space="preserve"> </w:t>
      </w:r>
      <w:r w:rsidR="002E3BB9" w:rsidRPr="00DD0577">
        <w:rPr>
          <w:rFonts w:ascii="Arial" w:hAnsi="Arial" w:cs="Arial"/>
          <w:b/>
          <w:bCs/>
          <w:i/>
          <w:iCs/>
          <w:color w:val="1BA3B1"/>
          <w:sz w:val="20"/>
          <w:szCs w:val="20"/>
        </w:rPr>
        <w:t>C</w:t>
      </w:r>
      <w:r w:rsidR="00D10F88" w:rsidRPr="00DD0577">
        <w:rPr>
          <w:rFonts w:ascii="Arial" w:hAnsi="Arial" w:cs="Arial"/>
          <w:b/>
          <w:bCs/>
          <w:i/>
          <w:iCs/>
          <w:color w:val="1BA3B1"/>
          <w:sz w:val="20"/>
          <w:szCs w:val="20"/>
        </w:rPr>
        <w:t xml:space="preserve">onservation </w:t>
      </w:r>
      <w:r w:rsidR="002E3BB9" w:rsidRPr="00DD0577">
        <w:rPr>
          <w:rFonts w:ascii="Arial" w:hAnsi="Arial" w:cs="Arial"/>
          <w:b/>
          <w:bCs/>
          <w:i/>
          <w:iCs/>
          <w:color w:val="1BA3B1"/>
          <w:sz w:val="20"/>
          <w:szCs w:val="20"/>
        </w:rPr>
        <w:t>A</w:t>
      </w:r>
      <w:r w:rsidR="00D10F88" w:rsidRPr="00DD0577">
        <w:rPr>
          <w:rFonts w:ascii="Arial" w:hAnsi="Arial" w:cs="Arial"/>
          <w:b/>
          <w:bCs/>
          <w:i/>
          <w:iCs/>
          <w:color w:val="1BA3B1"/>
          <w:sz w:val="20"/>
          <w:szCs w:val="20"/>
        </w:rPr>
        <w:t>rea</w:t>
      </w:r>
    </w:p>
    <w:p w14:paraId="0A622577" w14:textId="77777777" w:rsidR="00D10F88" w:rsidRPr="00D10F88" w:rsidRDefault="00D10F88" w:rsidP="00D10F88">
      <w:pPr>
        <w:pStyle w:val="ListParagraph"/>
        <w:rPr>
          <w:rFonts w:ascii="Arial" w:hAnsi="Arial" w:cs="Arial"/>
          <w:sz w:val="20"/>
          <w:szCs w:val="20"/>
        </w:rPr>
      </w:pPr>
    </w:p>
    <w:p w14:paraId="3A17F320" w14:textId="2057AA99" w:rsidR="00361E1D" w:rsidRPr="00564656" w:rsidRDefault="00361E1D" w:rsidP="00564656">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The Statutory duty is to pay special attention to the desirability of preserving or enhancing the character or appearance of Conservation Areas.</w:t>
      </w:r>
      <w:r w:rsidR="00564656">
        <w:rPr>
          <w:rFonts w:ascii="Arial" w:hAnsi="Arial" w:cs="Arial"/>
          <w:sz w:val="20"/>
          <w:szCs w:val="20"/>
        </w:rPr>
        <w:t xml:space="preserve"> </w:t>
      </w:r>
    </w:p>
    <w:p w14:paraId="4D59CA73" w14:textId="77777777" w:rsidR="00361E1D" w:rsidRDefault="00361E1D" w:rsidP="00361E1D">
      <w:pPr>
        <w:pStyle w:val="ListParagraph"/>
        <w:autoSpaceDE w:val="0"/>
        <w:autoSpaceDN w:val="0"/>
        <w:adjustRightInd w:val="0"/>
        <w:ind w:left="567" w:right="274"/>
        <w:jc w:val="both"/>
        <w:rPr>
          <w:rFonts w:ascii="Arial" w:hAnsi="Arial" w:cs="Arial"/>
          <w:sz w:val="20"/>
          <w:szCs w:val="20"/>
        </w:rPr>
      </w:pPr>
    </w:p>
    <w:p w14:paraId="04A93949" w14:textId="6F3715F9" w:rsidR="00F82C02" w:rsidRDefault="00897BF1" w:rsidP="00534DD3">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w:t>
      </w:r>
      <w:r w:rsidR="002A3592">
        <w:rPr>
          <w:rFonts w:ascii="Arial" w:hAnsi="Arial" w:cs="Arial"/>
          <w:sz w:val="20"/>
          <w:szCs w:val="20"/>
        </w:rPr>
        <w:t xml:space="preserve">Site </w:t>
      </w:r>
      <w:r w:rsidR="001E58B7" w:rsidRPr="001E58B7">
        <w:rPr>
          <w:rFonts w:ascii="Arial" w:hAnsi="Arial" w:cs="Arial"/>
          <w:sz w:val="20"/>
          <w:szCs w:val="20"/>
        </w:rPr>
        <w:t xml:space="preserve">is located within the </w:t>
      </w:r>
      <w:r w:rsidR="00770CB4">
        <w:rPr>
          <w:rFonts w:ascii="Arial" w:hAnsi="Arial" w:cs="Arial"/>
          <w:sz w:val="20"/>
          <w:szCs w:val="20"/>
        </w:rPr>
        <w:t>West End Green</w:t>
      </w:r>
      <w:r w:rsidR="001E58B7" w:rsidRPr="001E58B7">
        <w:rPr>
          <w:rFonts w:ascii="Arial" w:hAnsi="Arial" w:cs="Arial"/>
          <w:sz w:val="20"/>
          <w:szCs w:val="20"/>
        </w:rPr>
        <w:t xml:space="preserve"> Conservation Area.</w:t>
      </w:r>
    </w:p>
    <w:p w14:paraId="0D1AD068" w14:textId="5CD88CE7" w:rsidR="00916298" w:rsidRPr="007A73B8" w:rsidRDefault="00916298" w:rsidP="007A73B8">
      <w:pPr>
        <w:autoSpaceDE w:val="0"/>
        <w:autoSpaceDN w:val="0"/>
        <w:adjustRightInd w:val="0"/>
        <w:ind w:right="274"/>
        <w:jc w:val="both"/>
        <w:rPr>
          <w:rFonts w:ascii="Arial" w:hAnsi="Arial" w:cs="Arial"/>
          <w:sz w:val="20"/>
          <w:szCs w:val="20"/>
          <w:highlight w:val="yellow"/>
        </w:rPr>
      </w:pPr>
    </w:p>
    <w:p w14:paraId="4FFD7E9B" w14:textId="3E5204F0" w:rsidR="000F6D75" w:rsidRDefault="00564656" w:rsidP="004D1F2F">
      <w:pPr>
        <w:pStyle w:val="ListParagraph"/>
        <w:numPr>
          <w:ilvl w:val="1"/>
          <w:numId w:val="14"/>
        </w:numPr>
        <w:autoSpaceDE w:val="0"/>
        <w:autoSpaceDN w:val="0"/>
        <w:adjustRightInd w:val="0"/>
        <w:ind w:left="567" w:right="274" w:hanging="567"/>
        <w:jc w:val="both"/>
        <w:rPr>
          <w:rFonts w:ascii="Arial" w:hAnsi="Arial" w:cs="Arial"/>
          <w:sz w:val="20"/>
          <w:szCs w:val="20"/>
        </w:rPr>
      </w:pPr>
      <w:r w:rsidRPr="00564656">
        <w:rPr>
          <w:rFonts w:ascii="Arial" w:hAnsi="Arial" w:cs="Arial"/>
          <w:sz w:val="20"/>
          <w:szCs w:val="20"/>
        </w:rPr>
        <w:t xml:space="preserve">The Conservation Area has </w:t>
      </w:r>
      <w:r w:rsidRPr="002A56ED">
        <w:rPr>
          <w:rFonts w:ascii="Arial" w:hAnsi="Arial" w:cs="Arial"/>
          <w:b/>
          <w:bCs/>
          <w:sz w:val="20"/>
          <w:szCs w:val="20"/>
          <w:u w:val="single"/>
        </w:rPr>
        <w:t>a degree of significance</w:t>
      </w:r>
      <w:r w:rsidR="002A56ED">
        <w:rPr>
          <w:rFonts w:ascii="Arial" w:hAnsi="Arial" w:cs="Arial"/>
          <w:sz w:val="20"/>
          <w:szCs w:val="20"/>
        </w:rPr>
        <w:t xml:space="preserve">. </w:t>
      </w:r>
    </w:p>
    <w:p w14:paraId="30F73165" w14:textId="77777777" w:rsidR="001F45E8" w:rsidRPr="00655398" w:rsidRDefault="001F45E8" w:rsidP="00655398">
      <w:pPr>
        <w:rPr>
          <w:rFonts w:ascii="Arial" w:hAnsi="Arial" w:cs="Arial"/>
          <w:sz w:val="20"/>
          <w:szCs w:val="20"/>
          <w:highlight w:val="yellow"/>
        </w:rPr>
      </w:pPr>
    </w:p>
    <w:p w14:paraId="788C1464" w14:textId="1A6D30B7" w:rsidR="001F45E8" w:rsidRPr="000C6357" w:rsidRDefault="001F45E8" w:rsidP="004D1F2F">
      <w:pPr>
        <w:pStyle w:val="ListParagraph"/>
        <w:numPr>
          <w:ilvl w:val="1"/>
          <w:numId w:val="14"/>
        </w:numPr>
        <w:autoSpaceDE w:val="0"/>
        <w:autoSpaceDN w:val="0"/>
        <w:adjustRightInd w:val="0"/>
        <w:ind w:left="567" w:right="274" w:hanging="567"/>
        <w:jc w:val="both"/>
        <w:rPr>
          <w:rFonts w:ascii="Arial" w:hAnsi="Arial" w:cs="Arial"/>
          <w:sz w:val="20"/>
          <w:szCs w:val="20"/>
        </w:rPr>
      </w:pPr>
      <w:r w:rsidRPr="000C6357">
        <w:rPr>
          <w:rFonts w:ascii="Arial" w:hAnsi="Arial" w:cs="Arial"/>
          <w:sz w:val="20"/>
          <w:szCs w:val="20"/>
        </w:rPr>
        <w:t xml:space="preserve">The </w:t>
      </w:r>
      <w:r w:rsidR="00DA5227" w:rsidRPr="000C6357">
        <w:rPr>
          <w:rFonts w:ascii="Arial" w:hAnsi="Arial" w:cs="Arial"/>
          <w:sz w:val="20"/>
          <w:szCs w:val="20"/>
        </w:rPr>
        <w:t>special character of the Conservation Area is defined within the Appraisal and Management Strategy as follows:</w:t>
      </w:r>
    </w:p>
    <w:p w14:paraId="09670335" w14:textId="77777777" w:rsidR="00DA5227" w:rsidRPr="000C6357" w:rsidRDefault="00DA5227" w:rsidP="00DA5227">
      <w:pPr>
        <w:pStyle w:val="ListParagraph"/>
        <w:rPr>
          <w:rFonts w:ascii="Arial" w:hAnsi="Arial" w:cs="Arial"/>
          <w:sz w:val="20"/>
          <w:szCs w:val="20"/>
        </w:rPr>
      </w:pPr>
    </w:p>
    <w:p w14:paraId="1955BE02" w14:textId="7F57A283" w:rsidR="00DA5227" w:rsidRPr="000C6357" w:rsidRDefault="00DE3716" w:rsidP="00901194">
      <w:pPr>
        <w:pStyle w:val="ListParagraph"/>
        <w:autoSpaceDE w:val="0"/>
        <w:autoSpaceDN w:val="0"/>
        <w:adjustRightInd w:val="0"/>
        <w:ind w:right="274"/>
        <w:jc w:val="both"/>
        <w:rPr>
          <w:rFonts w:ascii="Arial" w:hAnsi="Arial" w:cs="Arial"/>
          <w:b/>
          <w:bCs/>
          <w:i/>
          <w:iCs/>
          <w:sz w:val="20"/>
          <w:szCs w:val="20"/>
        </w:rPr>
      </w:pPr>
      <w:r w:rsidRPr="000C6357">
        <w:rPr>
          <w:rFonts w:ascii="Arial" w:hAnsi="Arial" w:cs="Arial"/>
          <w:b/>
          <w:bCs/>
          <w:i/>
          <w:iCs/>
          <w:sz w:val="20"/>
          <w:szCs w:val="20"/>
        </w:rPr>
        <w:t>West End Green is a London village running along the spine of the West End Lane. The Lane rises and links Kilburn to Hampstead. The village character has been absorbed but not erased by the expansion of central London from the south, and by Hampstead from the north and east during the late nineteenth and early twentieth century.</w:t>
      </w:r>
    </w:p>
    <w:p w14:paraId="57FDF8CD" w14:textId="77777777" w:rsidR="00DE3716" w:rsidRPr="000C6357" w:rsidRDefault="00DE3716" w:rsidP="00901194">
      <w:pPr>
        <w:pStyle w:val="ListParagraph"/>
        <w:autoSpaceDE w:val="0"/>
        <w:autoSpaceDN w:val="0"/>
        <w:adjustRightInd w:val="0"/>
        <w:ind w:right="274"/>
        <w:jc w:val="both"/>
        <w:rPr>
          <w:rFonts w:ascii="Arial" w:hAnsi="Arial" w:cs="Arial"/>
          <w:b/>
          <w:bCs/>
          <w:i/>
          <w:iCs/>
          <w:sz w:val="20"/>
          <w:szCs w:val="20"/>
        </w:rPr>
      </w:pPr>
    </w:p>
    <w:p w14:paraId="1303EF1D" w14:textId="368DB5E5" w:rsidR="00DE3716" w:rsidRPr="000C6357" w:rsidRDefault="00DE3716" w:rsidP="00901194">
      <w:pPr>
        <w:pStyle w:val="ListParagraph"/>
        <w:autoSpaceDE w:val="0"/>
        <w:autoSpaceDN w:val="0"/>
        <w:adjustRightInd w:val="0"/>
        <w:ind w:right="274"/>
        <w:jc w:val="both"/>
        <w:rPr>
          <w:rFonts w:ascii="Arial" w:hAnsi="Arial" w:cs="Arial"/>
          <w:b/>
          <w:bCs/>
          <w:i/>
          <w:iCs/>
          <w:sz w:val="20"/>
          <w:szCs w:val="20"/>
        </w:rPr>
      </w:pPr>
      <w:r w:rsidRPr="000C6357">
        <w:rPr>
          <w:rFonts w:ascii="Arial" w:hAnsi="Arial" w:cs="Arial"/>
          <w:b/>
          <w:bCs/>
          <w:i/>
          <w:iCs/>
          <w:sz w:val="20"/>
          <w:szCs w:val="20"/>
        </w:rPr>
        <w:t>The growth from tiny village to metropolitan suburb has resulted in a very homogeneous piece of Victorian and Edwardian domestic architecture and planning. The character of the area is still defined by the village with the busy commercial ‘spine’ street, the Green, the street trees and private gardens, the monumental mansion blocks, the variety of substantial houses for professional</w:t>
      </w:r>
      <w:r w:rsidR="008A33A4" w:rsidRPr="000C6357">
        <w:rPr>
          <w:rFonts w:ascii="Arial" w:hAnsi="Arial" w:cs="Arial"/>
          <w:b/>
          <w:bCs/>
          <w:i/>
          <w:iCs/>
          <w:sz w:val="20"/>
          <w:szCs w:val="20"/>
        </w:rPr>
        <w:t xml:space="preserve"> </w:t>
      </w:r>
      <w:r w:rsidRPr="000C6357">
        <w:rPr>
          <w:rFonts w:ascii="Arial" w:hAnsi="Arial" w:cs="Arial"/>
          <w:b/>
          <w:bCs/>
          <w:i/>
          <w:iCs/>
          <w:sz w:val="20"/>
          <w:szCs w:val="20"/>
        </w:rPr>
        <w:t>families and terraced housing.</w:t>
      </w:r>
    </w:p>
    <w:p w14:paraId="6F1F2177" w14:textId="77777777" w:rsidR="00DE3716" w:rsidRPr="000C6357" w:rsidRDefault="00DE3716" w:rsidP="00DE3716">
      <w:pPr>
        <w:pStyle w:val="ListParagraph"/>
        <w:autoSpaceDE w:val="0"/>
        <w:autoSpaceDN w:val="0"/>
        <w:adjustRightInd w:val="0"/>
        <w:ind w:left="567" w:right="274"/>
        <w:jc w:val="both"/>
        <w:rPr>
          <w:rFonts w:ascii="Arial" w:hAnsi="Arial" w:cs="Arial"/>
          <w:sz w:val="20"/>
          <w:szCs w:val="20"/>
        </w:rPr>
      </w:pPr>
    </w:p>
    <w:p w14:paraId="5F1967F9" w14:textId="5A2C45B9" w:rsidR="00DE3716" w:rsidRPr="000C6357" w:rsidRDefault="007450C7" w:rsidP="00DE3716">
      <w:pPr>
        <w:pStyle w:val="ListParagraph"/>
        <w:numPr>
          <w:ilvl w:val="1"/>
          <w:numId w:val="14"/>
        </w:numPr>
        <w:autoSpaceDE w:val="0"/>
        <w:autoSpaceDN w:val="0"/>
        <w:adjustRightInd w:val="0"/>
        <w:ind w:left="567" w:right="274" w:hanging="567"/>
        <w:jc w:val="both"/>
        <w:rPr>
          <w:rFonts w:ascii="Arial" w:hAnsi="Arial" w:cs="Arial"/>
          <w:sz w:val="20"/>
          <w:szCs w:val="20"/>
        </w:rPr>
      </w:pPr>
      <w:r w:rsidRPr="000C6357">
        <w:rPr>
          <w:rFonts w:ascii="Arial" w:hAnsi="Arial" w:cs="Arial"/>
          <w:sz w:val="20"/>
          <w:szCs w:val="20"/>
        </w:rPr>
        <w:t>With regards to character and plan form, th</w:t>
      </w:r>
      <w:r w:rsidR="008A33A4" w:rsidRPr="000C6357">
        <w:rPr>
          <w:rFonts w:ascii="Arial" w:hAnsi="Arial" w:cs="Arial"/>
          <w:sz w:val="20"/>
          <w:szCs w:val="20"/>
        </w:rPr>
        <w:t xml:space="preserve">e areas to the east and west of </w:t>
      </w:r>
      <w:r w:rsidR="005C7052" w:rsidRPr="000C6357">
        <w:rPr>
          <w:rFonts w:ascii="Arial" w:hAnsi="Arial" w:cs="Arial"/>
          <w:sz w:val="20"/>
          <w:szCs w:val="20"/>
        </w:rPr>
        <w:t xml:space="preserve">‘The Lane’ are identified as being lined with predominantly red brick houses and mansion blocks, a coherent area that was almost all built </w:t>
      </w:r>
      <w:r w:rsidR="000C6357" w:rsidRPr="000C6357">
        <w:rPr>
          <w:rFonts w:ascii="Arial" w:hAnsi="Arial" w:cs="Arial"/>
          <w:sz w:val="20"/>
          <w:szCs w:val="20"/>
        </w:rPr>
        <w:t xml:space="preserve">within 50 years. </w:t>
      </w:r>
    </w:p>
    <w:p w14:paraId="75E6AB4E" w14:textId="77777777" w:rsidR="000C6357" w:rsidRDefault="000C6357" w:rsidP="000C6357">
      <w:pPr>
        <w:pStyle w:val="ListParagraph"/>
        <w:autoSpaceDE w:val="0"/>
        <w:autoSpaceDN w:val="0"/>
        <w:adjustRightInd w:val="0"/>
        <w:ind w:left="567" w:right="274"/>
        <w:jc w:val="both"/>
        <w:rPr>
          <w:rFonts w:ascii="Arial" w:hAnsi="Arial" w:cs="Arial"/>
          <w:sz w:val="20"/>
          <w:szCs w:val="20"/>
          <w:highlight w:val="yellow"/>
        </w:rPr>
      </w:pPr>
    </w:p>
    <w:p w14:paraId="0D2ADA33" w14:textId="7911D2FC" w:rsidR="000C6357" w:rsidRPr="00901194" w:rsidRDefault="00544141" w:rsidP="00901194">
      <w:pPr>
        <w:pStyle w:val="ListParagraph"/>
        <w:numPr>
          <w:ilvl w:val="1"/>
          <w:numId w:val="14"/>
        </w:numPr>
        <w:autoSpaceDE w:val="0"/>
        <w:autoSpaceDN w:val="0"/>
        <w:adjustRightInd w:val="0"/>
        <w:ind w:left="567" w:right="274" w:hanging="567"/>
        <w:jc w:val="both"/>
        <w:rPr>
          <w:rFonts w:ascii="Arial" w:hAnsi="Arial" w:cs="Arial"/>
          <w:sz w:val="20"/>
          <w:szCs w:val="20"/>
        </w:rPr>
      </w:pPr>
      <w:r w:rsidRPr="00901194">
        <w:rPr>
          <w:rFonts w:ascii="Arial" w:hAnsi="Arial" w:cs="Arial"/>
          <w:sz w:val="20"/>
          <w:szCs w:val="20"/>
        </w:rPr>
        <w:t xml:space="preserve">Houses </w:t>
      </w:r>
      <w:r w:rsidR="00DC611D" w:rsidRPr="00901194">
        <w:rPr>
          <w:rFonts w:ascii="Arial" w:hAnsi="Arial" w:cs="Arial"/>
          <w:sz w:val="20"/>
          <w:szCs w:val="20"/>
        </w:rPr>
        <w:t xml:space="preserve">in the Conservation Area were </w:t>
      </w:r>
      <w:r w:rsidR="00901194" w:rsidRPr="00901194">
        <w:rPr>
          <w:rFonts w:ascii="Arial" w:hAnsi="Arial" w:cs="Arial"/>
          <w:sz w:val="20"/>
          <w:szCs w:val="20"/>
        </w:rPr>
        <w:t>originally</w:t>
      </w:r>
      <w:r w:rsidR="00DC611D" w:rsidRPr="00901194">
        <w:rPr>
          <w:rFonts w:ascii="Arial" w:hAnsi="Arial" w:cs="Arial"/>
          <w:sz w:val="20"/>
          <w:szCs w:val="20"/>
        </w:rPr>
        <w:t xml:space="preserve"> </w:t>
      </w:r>
      <w:r w:rsidR="00901194" w:rsidRPr="00901194">
        <w:rPr>
          <w:rFonts w:ascii="Arial" w:hAnsi="Arial" w:cs="Arial"/>
          <w:sz w:val="20"/>
          <w:szCs w:val="20"/>
        </w:rPr>
        <w:t>built for suburban, prosperous professionals, the houses exude a quirky, English Domestic architecture. The Arts and Crafts details and gardens enhance this suburban scene.</w:t>
      </w:r>
      <w:r w:rsidR="00901194" w:rsidRPr="00901194">
        <w:t xml:space="preserve"> </w:t>
      </w:r>
      <w:r w:rsidR="00901194" w:rsidRPr="00901194">
        <w:rPr>
          <w:rFonts w:ascii="Arial" w:hAnsi="Arial" w:cs="Arial"/>
          <w:sz w:val="20"/>
          <w:szCs w:val="20"/>
        </w:rPr>
        <w:t>The terraced houses are substantial and 3 storey. Their details are simpler than the houses and their design is much more uniform in the street scene. Roofscapes, particularly on the hills, are characteristic</w:t>
      </w:r>
    </w:p>
    <w:p w14:paraId="018C9C33" w14:textId="77777777" w:rsidR="00EC077E" w:rsidRPr="00471934" w:rsidRDefault="00EC077E" w:rsidP="00471934">
      <w:pPr>
        <w:rPr>
          <w:rFonts w:ascii="Arial" w:hAnsi="Arial" w:cs="Arial"/>
          <w:sz w:val="20"/>
          <w:szCs w:val="20"/>
        </w:rPr>
      </w:pPr>
    </w:p>
    <w:p w14:paraId="1450F9D2" w14:textId="2F88CC7B" w:rsidR="00EC077E" w:rsidRPr="00770CB4" w:rsidRDefault="00EC077E" w:rsidP="00770CB4">
      <w:pPr>
        <w:pStyle w:val="ListParagraph"/>
        <w:autoSpaceDE w:val="0"/>
        <w:autoSpaceDN w:val="0"/>
        <w:adjustRightInd w:val="0"/>
        <w:ind w:left="567" w:right="274"/>
        <w:jc w:val="both"/>
        <w:rPr>
          <w:rFonts w:ascii="Arial" w:hAnsi="Arial" w:cs="Arial"/>
          <w:b/>
          <w:bCs/>
          <w:i/>
          <w:iCs/>
          <w:color w:val="1BA3B1"/>
          <w:sz w:val="20"/>
          <w:szCs w:val="20"/>
        </w:rPr>
      </w:pPr>
      <w:r w:rsidRPr="00770CB4">
        <w:rPr>
          <w:rFonts w:ascii="Arial" w:hAnsi="Arial" w:cs="Arial"/>
          <w:b/>
          <w:bCs/>
          <w:i/>
          <w:iCs/>
          <w:color w:val="1BA3B1"/>
          <w:sz w:val="20"/>
          <w:szCs w:val="20"/>
        </w:rPr>
        <w:t>Non-Designated Heritage Asset</w:t>
      </w:r>
      <w:r w:rsidR="00770CB4" w:rsidRPr="00770CB4">
        <w:rPr>
          <w:rFonts w:ascii="Arial" w:hAnsi="Arial" w:cs="Arial"/>
          <w:b/>
          <w:bCs/>
          <w:i/>
          <w:iCs/>
          <w:color w:val="1BA3B1"/>
          <w:sz w:val="20"/>
          <w:szCs w:val="20"/>
        </w:rPr>
        <w:t xml:space="preserve"> – The building </w:t>
      </w:r>
    </w:p>
    <w:p w14:paraId="40560672" w14:textId="77777777" w:rsidR="00770CB4" w:rsidRPr="00770CB4" w:rsidRDefault="00770CB4" w:rsidP="00770CB4">
      <w:pPr>
        <w:pStyle w:val="ListParagraph"/>
        <w:rPr>
          <w:rFonts w:ascii="Arial" w:hAnsi="Arial" w:cs="Arial"/>
          <w:sz w:val="20"/>
          <w:szCs w:val="20"/>
        </w:rPr>
      </w:pPr>
    </w:p>
    <w:p w14:paraId="1A6F7130" w14:textId="44C743C2" w:rsidR="00770CB4" w:rsidRDefault="001A6A90" w:rsidP="004D1F2F">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The building is not Stat</w:t>
      </w:r>
      <w:r w:rsidR="00FD66EF">
        <w:rPr>
          <w:rFonts w:ascii="Arial" w:hAnsi="Arial" w:cs="Arial"/>
          <w:sz w:val="20"/>
          <w:szCs w:val="20"/>
        </w:rPr>
        <w:t xml:space="preserve">utorily Listed but is identified as a positive contributor to the Conservation Area and therefore has </w:t>
      </w:r>
      <w:r w:rsidR="00FD66EF" w:rsidRPr="00FD66EF">
        <w:rPr>
          <w:rFonts w:ascii="Arial" w:hAnsi="Arial" w:cs="Arial"/>
          <w:b/>
          <w:bCs/>
          <w:sz w:val="20"/>
          <w:szCs w:val="20"/>
          <w:u w:val="single"/>
        </w:rPr>
        <w:t>a degree of significance</w:t>
      </w:r>
      <w:r w:rsidR="00FD66EF">
        <w:rPr>
          <w:rFonts w:ascii="Arial" w:hAnsi="Arial" w:cs="Arial"/>
          <w:sz w:val="20"/>
          <w:szCs w:val="20"/>
        </w:rPr>
        <w:t>.</w:t>
      </w:r>
    </w:p>
    <w:p w14:paraId="4EA7B0AE" w14:textId="77777777" w:rsidR="00FD66EF" w:rsidRDefault="00FD66EF" w:rsidP="00FD66EF">
      <w:pPr>
        <w:pStyle w:val="ListParagraph"/>
        <w:autoSpaceDE w:val="0"/>
        <w:autoSpaceDN w:val="0"/>
        <w:adjustRightInd w:val="0"/>
        <w:ind w:left="567" w:right="274"/>
        <w:jc w:val="both"/>
        <w:rPr>
          <w:rFonts w:ascii="Arial" w:hAnsi="Arial" w:cs="Arial"/>
          <w:sz w:val="20"/>
          <w:szCs w:val="20"/>
        </w:rPr>
      </w:pPr>
    </w:p>
    <w:p w14:paraId="1F363F2C" w14:textId="48E29330" w:rsidR="00FD66EF" w:rsidRDefault="00993E56" w:rsidP="00FD66EF">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Conservation Area Appraisal </w:t>
      </w:r>
      <w:r w:rsidR="00E6198A">
        <w:rPr>
          <w:rFonts w:ascii="Arial" w:hAnsi="Arial" w:cs="Arial"/>
          <w:sz w:val="20"/>
          <w:szCs w:val="20"/>
        </w:rPr>
        <w:t xml:space="preserve">identifies buildings that a make a positive contribution as relating to the core reason for the conservation area designation and significance. </w:t>
      </w:r>
      <w:r w:rsidR="001342E6">
        <w:rPr>
          <w:rFonts w:ascii="Arial" w:hAnsi="Arial" w:cs="Arial"/>
          <w:sz w:val="20"/>
          <w:szCs w:val="20"/>
        </w:rPr>
        <w:t>These primarily relate to development at the end of the nineteenth and turn of the twentieth centur</w:t>
      </w:r>
      <w:r w:rsidR="00685EBC">
        <w:rPr>
          <w:rFonts w:ascii="Arial" w:hAnsi="Arial" w:cs="Arial"/>
          <w:sz w:val="20"/>
          <w:szCs w:val="20"/>
        </w:rPr>
        <w:t xml:space="preserve">y which have a positive effect on the environment and could be a single building, group or landmark. </w:t>
      </w:r>
    </w:p>
    <w:p w14:paraId="01365804" w14:textId="77777777" w:rsidR="00685EBC" w:rsidRPr="00685EBC" w:rsidRDefault="00685EBC" w:rsidP="00685EBC">
      <w:pPr>
        <w:pStyle w:val="ListParagraph"/>
        <w:rPr>
          <w:rFonts w:ascii="Arial" w:hAnsi="Arial" w:cs="Arial"/>
          <w:sz w:val="20"/>
          <w:szCs w:val="20"/>
        </w:rPr>
      </w:pPr>
    </w:p>
    <w:p w14:paraId="18CCBB33" w14:textId="041BCF22" w:rsidR="00685EBC" w:rsidRDefault="00685EBC" w:rsidP="00FD66EF">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Site forms part </w:t>
      </w:r>
      <w:r w:rsidR="008606F0">
        <w:rPr>
          <w:rFonts w:ascii="Arial" w:hAnsi="Arial" w:cs="Arial"/>
          <w:sz w:val="20"/>
          <w:szCs w:val="20"/>
        </w:rPr>
        <w:t xml:space="preserve">of a group of buildings identified as </w:t>
      </w:r>
      <w:r w:rsidR="006F2686">
        <w:rPr>
          <w:rFonts w:ascii="Arial" w:hAnsi="Arial" w:cs="Arial"/>
          <w:sz w:val="20"/>
          <w:szCs w:val="20"/>
        </w:rPr>
        <w:t>positive contributors, comprising Nos. 1-31 (odd) Inglewood Road.</w:t>
      </w:r>
    </w:p>
    <w:p w14:paraId="6E529E54" w14:textId="77777777" w:rsidR="006F2686" w:rsidRPr="006F2686" w:rsidRDefault="006F2686" w:rsidP="006F2686">
      <w:pPr>
        <w:pStyle w:val="ListParagraph"/>
        <w:rPr>
          <w:rFonts w:ascii="Arial" w:hAnsi="Arial" w:cs="Arial"/>
          <w:sz w:val="20"/>
          <w:szCs w:val="20"/>
        </w:rPr>
      </w:pPr>
    </w:p>
    <w:p w14:paraId="3B76F44C" w14:textId="77777777" w:rsidR="009B6F93" w:rsidRPr="009B6F93" w:rsidRDefault="009B6F93" w:rsidP="009B6F93">
      <w:pPr>
        <w:pStyle w:val="ListParagraph"/>
        <w:numPr>
          <w:ilvl w:val="1"/>
          <w:numId w:val="14"/>
        </w:numPr>
        <w:autoSpaceDE w:val="0"/>
        <w:autoSpaceDN w:val="0"/>
        <w:adjustRightInd w:val="0"/>
        <w:ind w:left="567" w:right="274" w:hanging="567"/>
        <w:jc w:val="both"/>
        <w:rPr>
          <w:rFonts w:ascii="Arial" w:hAnsi="Arial" w:cs="Arial"/>
          <w:sz w:val="20"/>
          <w:szCs w:val="20"/>
        </w:rPr>
      </w:pPr>
      <w:r w:rsidRPr="009B6F93">
        <w:rPr>
          <w:rFonts w:ascii="Arial" w:hAnsi="Arial" w:cs="Arial"/>
          <w:sz w:val="20"/>
          <w:szCs w:val="20"/>
        </w:rPr>
        <w:t>The houses of Inglewood Road are identified as being ‘</w:t>
      </w:r>
      <w:r w:rsidRPr="009B6F93">
        <w:rPr>
          <w:rFonts w:ascii="Arial" w:hAnsi="Arial" w:cs="Arial"/>
          <w:i/>
          <w:iCs/>
          <w:sz w:val="20"/>
          <w:szCs w:val="20"/>
        </w:rPr>
        <w:t>largely unspoilt late Victorian terraced houses (1883-4) …laid out on a curve and displaying some interesting details, particularly the roofscape’.</w:t>
      </w:r>
    </w:p>
    <w:p w14:paraId="4825D469" w14:textId="77777777" w:rsidR="006F2686" w:rsidRDefault="006F2686" w:rsidP="002B4C84">
      <w:pPr>
        <w:pStyle w:val="ListParagraph"/>
        <w:autoSpaceDE w:val="0"/>
        <w:autoSpaceDN w:val="0"/>
        <w:adjustRightInd w:val="0"/>
        <w:ind w:left="567" w:right="274"/>
        <w:jc w:val="both"/>
        <w:rPr>
          <w:rFonts w:ascii="Arial" w:hAnsi="Arial" w:cs="Arial"/>
          <w:sz w:val="20"/>
          <w:szCs w:val="20"/>
        </w:rPr>
      </w:pPr>
    </w:p>
    <w:p w14:paraId="775FF3AF" w14:textId="33100BA3" w:rsidR="002B4C84" w:rsidRPr="00B45A57" w:rsidRDefault="002B4C84" w:rsidP="00E8634F">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frontage of the Property </w:t>
      </w:r>
      <w:r w:rsidR="00230170">
        <w:rPr>
          <w:rFonts w:ascii="Arial" w:hAnsi="Arial" w:cs="Arial"/>
          <w:sz w:val="20"/>
          <w:szCs w:val="20"/>
        </w:rPr>
        <w:t>and its roofscape is in keeping with its immediate and surrounding context. The significance of the property is considered to lie in its front façade and roofscape.</w:t>
      </w:r>
    </w:p>
    <w:p w14:paraId="6AD649AE" w14:textId="6B943F41" w:rsidR="00E81A9C" w:rsidRPr="0084626D" w:rsidRDefault="00E81A9C" w:rsidP="00832C4C">
      <w:pPr>
        <w:pStyle w:val="Chromasubheadingnumbered"/>
        <w:rPr>
          <w:rFonts w:hint="eastAsia"/>
        </w:rPr>
      </w:pPr>
      <w:r w:rsidRPr="0084626D">
        <w:t>Assessment of Harm to the Heritage Asset</w:t>
      </w:r>
    </w:p>
    <w:p w14:paraId="28E81179" w14:textId="587B27A2" w:rsidR="0084626D" w:rsidRPr="0084626D" w:rsidRDefault="00770CB4" w:rsidP="0084626D">
      <w:pPr>
        <w:pStyle w:val="ListParagraph"/>
        <w:autoSpaceDE w:val="0"/>
        <w:autoSpaceDN w:val="0"/>
        <w:adjustRightInd w:val="0"/>
        <w:ind w:left="567" w:right="274"/>
        <w:jc w:val="both"/>
        <w:rPr>
          <w:rFonts w:ascii="Arial" w:hAnsi="Arial" w:cs="Arial"/>
          <w:b/>
          <w:bCs/>
          <w:i/>
          <w:iCs/>
          <w:color w:val="1BA3B1"/>
          <w:sz w:val="20"/>
          <w:szCs w:val="20"/>
        </w:rPr>
      </w:pPr>
      <w:r>
        <w:rPr>
          <w:rFonts w:ascii="Arial" w:hAnsi="Arial" w:cs="Arial"/>
          <w:b/>
          <w:bCs/>
          <w:i/>
          <w:iCs/>
          <w:color w:val="1BA3B1"/>
          <w:sz w:val="20"/>
          <w:szCs w:val="20"/>
        </w:rPr>
        <w:t xml:space="preserve">Designated Heritage Assets - </w:t>
      </w:r>
      <w:r w:rsidR="00621549">
        <w:rPr>
          <w:rFonts w:ascii="Arial" w:hAnsi="Arial" w:cs="Arial"/>
          <w:b/>
          <w:bCs/>
          <w:i/>
          <w:iCs/>
          <w:color w:val="1BA3B1"/>
          <w:sz w:val="20"/>
          <w:szCs w:val="20"/>
        </w:rPr>
        <w:t>The</w:t>
      </w:r>
      <w:r w:rsidR="0084626D">
        <w:rPr>
          <w:rFonts w:ascii="Arial" w:hAnsi="Arial" w:cs="Arial"/>
          <w:b/>
          <w:bCs/>
          <w:i/>
          <w:iCs/>
          <w:color w:val="1BA3B1"/>
          <w:sz w:val="20"/>
          <w:szCs w:val="20"/>
        </w:rPr>
        <w:t xml:space="preserve"> Conservation Area</w:t>
      </w:r>
    </w:p>
    <w:p w14:paraId="64D04644" w14:textId="77777777" w:rsidR="00716E34" w:rsidRDefault="00716E34" w:rsidP="00716E34">
      <w:pPr>
        <w:pStyle w:val="ListParagraph"/>
        <w:autoSpaceDE w:val="0"/>
        <w:autoSpaceDN w:val="0"/>
        <w:adjustRightInd w:val="0"/>
        <w:ind w:left="567" w:right="274"/>
        <w:jc w:val="both"/>
        <w:rPr>
          <w:rFonts w:ascii="Arial" w:hAnsi="Arial" w:cs="Arial"/>
          <w:sz w:val="20"/>
          <w:szCs w:val="20"/>
        </w:rPr>
      </w:pPr>
    </w:p>
    <w:p w14:paraId="6CED35EC" w14:textId="20A79E61" w:rsidR="000106DF" w:rsidRDefault="0095711C" w:rsidP="00D5261E">
      <w:pPr>
        <w:pStyle w:val="ListParagraph"/>
        <w:numPr>
          <w:ilvl w:val="1"/>
          <w:numId w:val="14"/>
        </w:numPr>
        <w:autoSpaceDE w:val="0"/>
        <w:autoSpaceDN w:val="0"/>
        <w:adjustRightInd w:val="0"/>
        <w:ind w:left="567" w:right="274" w:hanging="567"/>
        <w:jc w:val="both"/>
        <w:rPr>
          <w:rFonts w:ascii="Arial" w:hAnsi="Arial" w:cs="Arial"/>
          <w:sz w:val="20"/>
          <w:szCs w:val="20"/>
        </w:rPr>
      </w:pPr>
      <w:r w:rsidRPr="0095711C">
        <w:rPr>
          <w:rFonts w:ascii="Arial" w:hAnsi="Arial" w:cs="Arial"/>
          <w:sz w:val="20"/>
          <w:szCs w:val="20"/>
        </w:rPr>
        <w:t>When considering any planning application that affects a Conservation Area a local planning authority must pay special attention to the desirability or preserving or enhancing the character or appearance of that area.</w:t>
      </w:r>
    </w:p>
    <w:p w14:paraId="0142F21D" w14:textId="77777777" w:rsidR="00654689" w:rsidRDefault="00654689" w:rsidP="00654689">
      <w:pPr>
        <w:pStyle w:val="ListParagraph"/>
        <w:autoSpaceDE w:val="0"/>
        <w:autoSpaceDN w:val="0"/>
        <w:adjustRightInd w:val="0"/>
        <w:ind w:left="567" w:right="274"/>
        <w:jc w:val="both"/>
        <w:rPr>
          <w:rFonts w:ascii="Arial" w:hAnsi="Arial" w:cs="Arial"/>
          <w:sz w:val="20"/>
          <w:szCs w:val="20"/>
        </w:rPr>
      </w:pPr>
    </w:p>
    <w:p w14:paraId="70FE5A3A" w14:textId="7B4CBDD3" w:rsidR="00654689" w:rsidRPr="00D5261E" w:rsidRDefault="00654689" w:rsidP="00654689">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proposed scheme amendments are restricted to the rear of the Property. </w:t>
      </w:r>
    </w:p>
    <w:p w14:paraId="2440B19B" w14:textId="77777777" w:rsidR="00AD145B" w:rsidRPr="00AD145B" w:rsidRDefault="00AD145B" w:rsidP="00AD145B">
      <w:pPr>
        <w:pStyle w:val="ListParagraph"/>
        <w:rPr>
          <w:rFonts w:ascii="Arial" w:hAnsi="Arial" w:cs="Arial"/>
          <w:sz w:val="20"/>
          <w:szCs w:val="20"/>
        </w:rPr>
      </w:pPr>
    </w:p>
    <w:p w14:paraId="51AC20D9" w14:textId="189AF0AF" w:rsidR="00791C5A" w:rsidRPr="00557C2F" w:rsidRDefault="0058093D" w:rsidP="00557C2F">
      <w:pPr>
        <w:pStyle w:val="ListParagraph"/>
        <w:numPr>
          <w:ilvl w:val="1"/>
          <w:numId w:val="14"/>
        </w:numPr>
        <w:autoSpaceDE w:val="0"/>
        <w:autoSpaceDN w:val="0"/>
        <w:adjustRightInd w:val="0"/>
        <w:ind w:left="567" w:right="274" w:hanging="567"/>
        <w:jc w:val="both"/>
        <w:rPr>
          <w:rFonts w:ascii="Arial" w:hAnsi="Arial" w:cs="Arial"/>
          <w:sz w:val="20"/>
          <w:szCs w:val="20"/>
        </w:rPr>
      </w:pPr>
      <w:r w:rsidRPr="00BA6388">
        <w:rPr>
          <w:rFonts w:ascii="Arial" w:hAnsi="Arial" w:cs="Arial"/>
          <w:sz w:val="20"/>
          <w:szCs w:val="20"/>
        </w:rPr>
        <w:t>The</w:t>
      </w:r>
      <w:r w:rsidR="00557C2F">
        <w:rPr>
          <w:rFonts w:ascii="Arial" w:hAnsi="Arial" w:cs="Arial"/>
          <w:sz w:val="20"/>
          <w:szCs w:val="20"/>
        </w:rPr>
        <w:t xml:space="preserve">re </w:t>
      </w:r>
      <w:r w:rsidR="00557C2F" w:rsidRPr="00557C2F">
        <w:rPr>
          <w:rFonts w:ascii="Arial" w:hAnsi="Arial" w:cs="Arial"/>
          <w:sz w:val="20"/>
          <w:szCs w:val="20"/>
        </w:rPr>
        <w:t>are no public views to the rear of the Property as the Property is situated in the middle</w:t>
      </w:r>
      <w:r w:rsidR="00557C2F">
        <w:rPr>
          <w:rFonts w:ascii="Arial" w:hAnsi="Arial" w:cs="Arial"/>
          <w:sz w:val="20"/>
          <w:szCs w:val="20"/>
        </w:rPr>
        <w:t xml:space="preserve"> </w:t>
      </w:r>
      <w:r w:rsidR="00557C2F" w:rsidRPr="00557C2F">
        <w:rPr>
          <w:rFonts w:ascii="Arial" w:hAnsi="Arial" w:cs="Arial"/>
          <w:sz w:val="20"/>
          <w:szCs w:val="20"/>
        </w:rPr>
        <w:t>of an enclosed urban block.</w:t>
      </w:r>
    </w:p>
    <w:p w14:paraId="53750231" w14:textId="77777777" w:rsidR="00791C5A" w:rsidRPr="00BA6388" w:rsidRDefault="00791C5A" w:rsidP="00791C5A">
      <w:pPr>
        <w:pStyle w:val="ListParagraph"/>
        <w:rPr>
          <w:rFonts w:ascii="Arial" w:hAnsi="Arial" w:cs="Arial"/>
          <w:sz w:val="20"/>
          <w:szCs w:val="20"/>
        </w:rPr>
      </w:pPr>
    </w:p>
    <w:p w14:paraId="107C8DE1" w14:textId="77777777" w:rsidR="00AF42EF" w:rsidRDefault="00791C5A" w:rsidP="004159F3">
      <w:pPr>
        <w:pStyle w:val="ListParagraph"/>
        <w:numPr>
          <w:ilvl w:val="1"/>
          <w:numId w:val="14"/>
        </w:numPr>
        <w:autoSpaceDE w:val="0"/>
        <w:autoSpaceDN w:val="0"/>
        <w:adjustRightInd w:val="0"/>
        <w:ind w:left="567" w:right="274" w:hanging="567"/>
        <w:jc w:val="both"/>
        <w:rPr>
          <w:rFonts w:ascii="Arial" w:hAnsi="Arial" w:cs="Arial"/>
          <w:sz w:val="20"/>
          <w:szCs w:val="20"/>
        </w:rPr>
      </w:pPr>
      <w:r w:rsidRPr="00BA6388">
        <w:rPr>
          <w:rFonts w:ascii="Arial" w:hAnsi="Arial" w:cs="Arial"/>
          <w:sz w:val="20"/>
          <w:szCs w:val="20"/>
        </w:rPr>
        <w:t xml:space="preserve">Notwithstanding this, the proposals will visually improve the </w:t>
      </w:r>
      <w:r w:rsidR="007738A1">
        <w:rPr>
          <w:rFonts w:ascii="Arial" w:hAnsi="Arial" w:cs="Arial"/>
          <w:sz w:val="20"/>
          <w:szCs w:val="20"/>
        </w:rPr>
        <w:t xml:space="preserve">rear of the </w:t>
      </w:r>
      <w:r w:rsidR="00654689">
        <w:rPr>
          <w:rFonts w:ascii="Arial" w:hAnsi="Arial" w:cs="Arial"/>
          <w:sz w:val="20"/>
          <w:szCs w:val="20"/>
        </w:rPr>
        <w:t>P</w:t>
      </w:r>
      <w:r w:rsidR="007738A1">
        <w:rPr>
          <w:rFonts w:ascii="Arial" w:hAnsi="Arial" w:cs="Arial"/>
          <w:sz w:val="20"/>
          <w:szCs w:val="20"/>
        </w:rPr>
        <w:t xml:space="preserve">roperty through the provision of </w:t>
      </w:r>
      <w:r w:rsidR="00654689">
        <w:rPr>
          <w:rFonts w:ascii="Arial" w:hAnsi="Arial" w:cs="Arial"/>
          <w:sz w:val="20"/>
          <w:szCs w:val="20"/>
        </w:rPr>
        <w:t xml:space="preserve">an improved design solution to the proposals approved by the Original Permission. </w:t>
      </w:r>
    </w:p>
    <w:p w14:paraId="155BAF75" w14:textId="77777777" w:rsidR="00AF42EF" w:rsidRPr="00AF42EF" w:rsidRDefault="00AF42EF" w:rsidP="00AF42EF">
      <w:pPr>
        <w:pStyle w:val="ListParagraph"/>
        <w:rPr>
          <w:rFonts w:ascii="Arial" w:hAnsi="Arial" w:cs="Arial"/>
          <w:sz w:val="20"/>
          <w:szCs w:val="20"/>
        </w:rPr>
      </w:pPr>
    </w:p>
    <w:p w14:paraId="4A1E68DC" w14:textId="6273765B" w:rsidR="00006E29" w:rsidRPr="00BA6388" w:rsidRDefault="00AF42EF" w:rsidP="004159F3">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proposals will remove the previously approved </w:t>
      </w:r>
      <w:r w:rsidR="00CB0584">
        <w:rPr>
          <w:rFonts w:ascii="Arial" w:hAnsi="Arial" w:cs="Arial"/>
          <w:sz w:val="20"/>
          <w:szCs w:val="20"/>
        </w:rPr>
        <w:t>incongruous glazed box rooflight element</w:t>
      </w:r>
      <w:r w:rsidR="00294018">
        <w:rPr>
          <w:rFonts w:ascii="Arial" w:hAnsi="Arial" w:cs="Arial"/>
          <w:sz w:val="20"/>
          <w:szCs w:val="20"/>
        </w:rPr>
        <w:t xml:space="preserve"> and provide a more traditional form of extension</w:t>
      </w:r>
      <w:r w:rsidR="00CB0584">
        <w:rPr>
          <w:rFonts w:ascii="Arial" w:hAnsi="Arial" w:cs="Arial"/>
          <w:sz w:val="20"/>
          <w:szCs w:val="20"/>
        </w:rPr>
        <w:t xml:space="preserve">. </w:t>
      </w:r>
      <w:r w:rsidR="000B3482" w:rsidRPr="00BA6388">
        <w:rPr>
          <w:rFonts w:ascii="Arial" w:hAnsi="Arial" w:cs="Arial"/>
          <w:sz w:val="20"/>
          <w:szCs w:val="20"/>
        </w:rPr>
        <w:t xml:space="preserve"> </w:t>
      </w:r>
    </w:p>
    <w:p w14:paraId="41743972" w14:textId="77777777" w:rsidR="00194115" w:rsidRPr="00BA6388" w:rsidRDefault="00194115" w:rsidP="00194115">
      <w:pPr>
        <w:pStyle w:val="ListParagraph"/>
        <w:rPr>
          <w:rFonts w:ascii="Arial" w:hAnsi="Arial" w:cs="Arial"/>
          <w:sz w:val="20"/>
          <w:szCs w:val="20"/>
        </w:rPr>
      </w:pPr>
    </w:p>
    <w:p w14:paraId="3DF09A73" w14:textId="131BFF96" w:rsidR="007738A1" w:rsidRDefault="00194115" w:rsidP="00786D8D">
      <w:pPr>
        <w:pStyle w:val="ListParagraph"/>
        <w:numPr>
          <w:ilvl w:val="1"/>
          <w:numId w:val="14"/>
        </w:numPr>
        <w:autoSpaceDE w:val="0"/>
        <w:autoSpaceDN w:val="0"/>
        <w:adjustRightInd w:val="0"/>
        <w:ind w:left="567" w:right="274" w:hanging="567"/>
        <w:jc w:val="both"/>
        <w:rPr>
          <w:rFonts w:ascii="Arial" w:hAnsi="Arial" w:cs="Arial"/>
          <w:sz w:val="20"/>
          <w:szCs w:val="20"/>
        </w:rPr>
      </w:pPr>
      <w:r w:rsidRPr="00BA6388">
        <w:rPr>
          <w:rFonts w:ascii="Arial" w:hAnsi="Arial" w:cs="Arial"/>
          <w:sz w:val="20"/>
          <w:szCs w:val="20"/>
        </w:rPr>
        <w:t xml:space="preserve">The </w:t>
      </w:r>
      <w:r w:rsidR="007738A1">
        <w:rPr>
          <w:rFonts w:ascii="Arial" w:hAnsi="Arial" w:cs="Arial"/>
          <w:sz w:val="20"/>
          <w:szCs w:val="20"/>
        </w:rPr>
        <w:t xml:space="preserve">materials use will be high quality and durable </w:t>
      </w:r>
      <w:r w:rsidR="007738A1" w:rsidRPr="00680484">
        <w:rPr>
          <w:rFonts w:ascii="Arial" w:hAnsi="Arial" w:cs="Arial"/>
          <w:sz w:val="20"/>
          <w:szCs w:val="20"/>
        </w:rPr>
        <w:t xml:space="preserve">and </w:t>
      </w:r>
      <w:r w:rsidR="00294018" w:rsidRPr="00680484">
        <w:rPr>
          <w:rFonts w:ascii="Arial" w:hAnsi="Arial" w:cs="Arial"/>
          <w:sz w:val="20"/>
          <w:szCs w:val="20"/>
        </w:rPr>
        <w:t>will</w:t>
      </w:r>
      <w:r w:rsidR="00294018">
        <w:rPr>
          <w:rFonts w:ascii="Arial" w:hAnsi="Arial" w:cs="Arial"/>
          <w:sz w:val="20"/>
          <w:szCs w:val="20"/>
        </w:rPr>
        <w:t xml:space="preserve"> better relate to the host building</w:t>
      </w:r>
      <w:r w:rsidR="00680484">
        <w:rPr>
          <w:rFonts w:ascii="Arial" w:hAnsi="Arial" w:cs="Arial"/>
          <w:sz w:val="20"/>
          <w:szCs w:val="20"/>
        </w:rPr>
        <w:t xml:space="preserve"> than the approved position. </w:t>
      </w:r>
      <w:r w:rsidR="007738A1">
        <w:rPr>
          <w:rFonts w:ascii="Arial" w:hAnsi="Arial" w:cs="Arial"/>
          <w:sz w:val="20"/>
          <w:szCs w:val="20"/>
        </w:rPr>
        <w:t xml:space="preserve"> </w:t>
      </w:r>
    </w:p>
    <w:p w14:paraId="52620B10" w14:textId="77777777" w:rsidR="007738A1" w:rsidRPr="007738A1" w:rsidRDefault="007738A1" w:rsidP="007738A1">
      <w:pPr>
        <w:pStyle w:val="ListParagraph"/>
        <w:rPr>
          <w:rFonts w:ascii="Arial" w:hAnsi="Arial" w:cs="Arial"/>
          <w:sz w:val="20"/>
          <w:szCs w:val="20"/>
        </w:rPr>
      </w:pPr>
    </w:p>
    <w:p w14:paraId="52D6B64C" w14:textId="54F9A050" w:rsidR="00E51ED0" w:rsidRDefault="00ED7FCF" w:rsidP="00ED7FCF">
      <w:pPr>
        <w:pStyle w:val="ListParagraph"/>
        <w:numPr>
          <w:ilvl w:val="1"/>
          <w:numId w:val="14"/>
        </w:numPr>
        <w:autoSpaceDE w:val="0"/>
        <w:autoSpaceDN w:val="0"/>
        <w:adjustRightInd w:val="0"/>
        <w:ind w:left="567" w:right="274" w:hanging="567"/>
        <w:jc w:val="both"/>
        <w:rPr>
          <w:rFonts w:ascii="Arial" w:hAnsi="Arial" w:cs="Arial"/>
          <w:sz w:val="20"/>
          <w:szCs w:val="20"/>
        </w:rPr>
      </w:pPr>
      <w:r w:rsidRPr="00ED7FCF">
        <w:rPr>
          <w:rFonts w:ascii="Arial" w:hAnsi="Arial" w:cs="Arial"/>
          <w:sz w:val="20"/>
          <w:szCs w:val="20"/>
        </w:rPr>
        <w:t>The proposal respects the character and context of the rear façade and are considered to be</w:t>
      </w:r>
      <w:r>
        <w:rPr>
          <w:rFonts w:ascii="Arial" w:hAnsi="Arial" w:cs="Arial"/>
          <w:sz w:val="20"/>
          <w:szCs w:val="20"/>
        </w:rPr>
        <w:t xml:space="preserve"> </w:t>
      </w:r>
      <w:r w:rsidRPr="00ED7FCF">
        <w:rPr>
          <w:rFonts w:ascii="Arial" w:hAnsi="Arial" w:cs="Arial"/>
          <w:sz w:val="20"/>
          <w:szCs w:val="20"/>
        </w:rPr>
        <w:t>in keeping with the area</w:t>
      </w:r>
      <w:r>
        <w:rPr>
          <w:rFonts w:ascii="Arial" w:hAnsi="Arial" w:cs="Arial"/>
          <w:sz w:val="20"/>
          <w:szCs w:val="20"/>
        </w:rPr>
        <w:t>.</w:t>
      </w:r>
    </w:p>
    <w:p w14:paraId="65C82AB6" w14:textId="77777777" w:rsidR="00742BF1" w:rsidRPr="00742BF1" w:rsidRDefault="00742BF1" w:rsidP="00742BF1">
      <w:pPr>
        <w:pStyle w:val="ListParagraph"/>
        <w:rPr>
          <w:rFonts w:ascii="Arial" w:hAnsi="Arial" w:cs="Arial"/>
          <w:sz w:val="20"/>
          <w:szCs w:val="20"/>
        </w:rPr>
      </w:pPr>
    </w:p>
    <w:p w14:paraId="3B41C8FB" w14:textId="6D8053EB" w:rsidR="00742BF1" w:rsidRDefault="00742BF1" w:rsidP="00ED7FCF">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Property sits within a landscape and context of multiple properties where alterations and extensions </w:t>
      </w:r>
      <w:r w:rsidR="006577B6">
        <w:rPr>
          <w:rFonts w:ascii="Arial" w:hAnsi="Arial" w:cs="Arial"/>
          <w:sz w:val="20"/>
          <w:szCs w:val="20"/>
        </w:rPr>
        <w:t>have already taken plac</w:t>
      </w:r>
      <w:r w:rsidR="002F0897">
        <w:rPr>
          <w:rFonts w:ascii="Arial" w:hAnsi="Arial" w:cs="Arial"/>
          <w:sz w:val="20"/>
          <w:szCs w:val="20"/>
        </w:rPr>
        <w:t>e</w:t>
      </w:r>
      <w:r w:rsidR="006577B6">
        <w:rPr>
          <w:rFonts w:ascii="Arial" w:hAnsi="Arial" w:cs="Arial"/>
          <w:sz w:val="20"/>
          <w:szCs w:val="20"/>
        </w:rPr>
        <w:t>. The proposals are in keeping with the immediate and wider context of the Conservation Area</w:t>
      </w:r>
      <w:r w:rsidR="002F0897">
        <w:rPr>
          <w:rFonts w:ascii="Arial" w:hAnsi="Arial" w:cs="Arial"/>
          <w:sz w:val="20"/>
          <w:szCs w:val="20"/>
        </w:rPr>
        <w:t xml:space="preserve"> and the principle of the works has already been established. </w:t>
      </w:r>
    </w:p>
    <w:p w14:paraId="5F7ABF07" w14:textId="77777777" w:rsidR="00F83918" w:rsidRPr="00BA6388" w:rsidRDefault="00F83918" w:rsidP="00F83918">
      <w:pPr>
        <w:autoSpaceDE w:val="0"/>
        <w:autoSpaceDN w:val="0"/>
        <w:adjustRightInd w:val="0"/>
        <w:ind w:right="274"/>
        <w:jc w:val="both"/>
        <w:rPr>
          <w:rFonts w:ascii="Arial" w:hAnsi="Arial" w:cs="Arial"/>
          <w:sz w:val="20"/>
          <w:szCs w:val="20"/>
        </w:rPr>
      </w:pPr>
    </w:p>
    <w:p w14:paraId="2CD9D305" w14:textId="2DFCE330" w:rsidR="00BE63DB" w:rsidRPr="003E208B" w:rsidRDefault="00526DF7" w:rsidP="003E208B">
      <w:pPr>
        <w:pStyle w:val="ListParagraph"/>
        <w:numPr>
          <w:ilvl w:val="1"/>
          <w:numId w:val="14"/>
        </w:numPr>
        <w:autoSpaceDE w:val="0"/>
        <w:autoSpaceDN w:val="0"/>
        <w:adjustRightInd w:val="0"/>
        <w:ind w:left="567" w:right="274" w:hanging="567"/>
        <w:jc w:val="both"/>
        <w:rPr>
          <w:rFonts w:ascii="Arial" w:hAnsi="Arial" w:cs="Arial"/>
          <w:sz w:val="20"/>
          <w:szCs w:val="20"/>
        </w:rPr>
      </w:pPr>
      <w:r w:rsidRPr="00526DF7">
        <w:rPr>
          <w:rFonts w:ascii="Arial" w:hAnsi="Arial" w:cs="Arial"/>
          <w:sz w:val="20"/>
          <w:szCs w:val="20"/>
        </w:rPr>
        <w:t xml:space="preserve">Taken as a whole, it is considered that the </w:t>
      </w:r>
      <w:r w:rsidR="002F0897">
        <w:rPr>
          <w:rFonts w:ascii="Arial" w:hAnsi="Arial" w:cs="Arial"/>
          <w:sz w:val="20"/>
          <w:szCs w:val="20"/>
        </w:rPr>
        <w:t xml:space="preserve">proposed scheme </w:t>
      </w:r>
      <w:r w:rsidR="00867F09">
        <w:rPr>
          <w:rFonts w:ascii="Arial" w:hAnsi="Arial" w:cs="Arial"/>
          <w:sz w:val="20"/>
          <w:szCs w:val="20"/>
        </w:rPr>
        <w:t>amendments</w:t>
      </w:r>
      <w:r w:rsidRPr="00526DF7">
        <w:rPr>
          <w:rFonts w:ascii="Arial" w:hAnsi="Arial" w:cs="Arial"/>
          <w:sz w:val="20"/>
          <w:szCs w:val="20"/>
        </w:rPr>
        <w:t xml:space="preserve"> have </w:t>
      </w:r>
      <w:r w:rsidRPr="00526DF7">
        <w:rPr>
          <w:rFonts w:ascii="Arial" w:hAnsi="Arial" w:cs="Arial"/>
          <w:b/>
          <w:bCs/>
          <w:sz w:val="20"/>
          <w:szCs w:val="20"/>
          <w:u w:val="single"/>
        </w:rPr>
        <w:t>n</w:t>
      </w:r>
      <w:r w:rsidR="00867F09">
        <w:rPr>
          <w:rFonts w:ascii="Arial" w:hAnsi="Arial" w:cs="Arial"/>
          <w:b/>
          <w:bCs/>
          <w:sz w:val="20"/>
          <w:szCs w:val="20"/>
          <w:u w:val="single"/>
        </w:rPr>
        <w:t>o</w:t>
      </w:r>
      <w:r w:rsidR="00C733B8" w:rsidRPr="003E208B">
        <w:rPr>
          <w:rFonts w:ascii="Arial" w:hAnsi="Arial" w:cs="Arial"/>
          <w:b/>
          <w:bCs/>
          <w:sz w:val="20"/>
          <w:szCs w:val="20"/>
          <w:u w:val="single"/>
        </w:rPr>
        <w:t xml:space="preserve"> harm to the character or appearance</w:t>
      </w:r>
      <w:r w:rsidR="00C733B8" w:rsidRPr="003E208B">
        <w:rPr>
          <w:rFonts w:ascii="Arial" w:hAnsi="Arial" w:cs="Arial"/>
          <w:sz w:val="20"/>
          <w:szCs w:val="20"/>
        </w:rPr>
        <w:t xml:space="preserve"> of the Conservation Area</w:t>
      </w:r>
      <w:r w:rsidR="006A1948" w:rsidRPr="003E208B">
        <w:rPr>
          <w:rFonts w:ascii="Arial" w:hAnsi="Arial" w:cs="Arial"/>
          <w:sz w:val="20"/>
          <w:szCs w:val="20"/>
        </w:rPr>
        <w:t>.</w:t>
      </w:r>
    </w:p>
    <w:p w14:paraId="538ADA09" w14:textId="77777777" w:rsidR="0049166F" w:rsidRPr="0049166F" w:rsidRDefault="0049166F" w:rsidP="0049166F">
      <w:pPr>
        <w:pStyle w:val="ListParagraph"/>
        <w:rPr>
          <w:rFonts w:ascii="Arial" w:hAnsi="Arial" w:cs="Arial"/>
          <w:sz w:val="20"/>
          <w:szCs w:val="20"/>
        </w:rPr>
      </w:pPr>
    </w:p>
    <w:p w14:paraId="77CF785F" w14:textId="21D28531" w:rsidR="00867F09" w:rsidRPr="00A3120C" w:rsidRDefault="00BD2E15" w:rsidP="00A3120C">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The character or appearance of the Conservation Area and therefore its significance will not be adversely affected by the proposals.</w:t>
      </w:r>
      <w:r w:rsidRPr="00926E12">
        <w:rPr>
          <w:rFonts w:ascii="Arial" w:hAnsi="Arial" w:cs="Arial"/>
          <w:sz w:val="20"/>
          <w:szCs w:val="20"/>
        </w:rPr>
        <w:t xml:space="preserve"> </w:t>
      </w:r>
    </w:p>
    <w:p w14:paraId="568D7949" w14:textId="77777777" w:rsidR="00770CB4" w:rsidRPr="00770CB4" w:rsidRDefault="00770CB4" w:rsidP="00770CB4">
      <w:pPr>
        <w:pStyle w:val="ListParagraph"/>
        <w:rPr>
          <w:rFonts w:ascii="Arial" w:hAnsi="Arial" w:cs="Arial"/>
          <w:sz w:val="20"/>
          <w:szCs w:val="20"/>
        </w:rPr>
      </w:pPr>
    </w:p>
    <w:p w14:paraId="788D0F36" w14:textId="090ABE82" w:rsidR="00770CB4" w:rsidRPr="00770CB4" w:rsidRDefault="00770CB4" w:rsidP="00770CB4">
      <w:pPr>
        <w:pStyle w:val="ListParagraph"/>
        <w:autoSpaceDE w:val="0"/>
        <w:autoSpaceDN w:val="0"/>
        <w:adjustRightInd w:val="0"/>
        <w:ind w:left="567" w:right="274"/>
        <w:jc w:val="both"/>
        <w:rPr>
          <w:rFonts w:ascii="Arial" w:hAnsi="Arial" w:cs="Arial"/>
          <w:b/>
          <w:bCs/>
          <w:i/>
          <w:iCs/>
          <w:color w:val="1BA3B1"/>
          <w:sz w:val="20"/>
          <w:szCs w:val="20"/>
        </w:rPr>
      </w:pPr>
      <w:r w:rsidRPr="00770CB4">
        <w:rPr>
          <w:rFonts w:ascii="Arial" w:hAnsi="Arial" w:cs="Arial"/>
          <w:b/>
          <w:bCs/>
          <w:i/>
          <w:iCs/>
          <w:color w:val="1BA3B1"/>
          <w:sz w:val="20"/>
          <w:szCs w:val="20"/>
        </w:rPr>
        <w:t>Non-designated Heritage Assets</w:t>
      </w:r>
    </w:p>
    <w:p w14:paraId="2F9E62AA" w14:textId="77777777" w:rsidR="00770CB4" w:rsidRPr="00770CB4" w:rsidRDefault="00770CB4" w:rsidP="00770CB4">
      <w:pPr>
        <w:pStyle w:val="ListParagraph"/>
        <w:rPr>
          <w:rFonts w:ascii="Arial" w:hAnsi="Arial" w:cs="Arial"/>
          <w:sz w:val="20"/>
          <w:szCs w:val="20"/>
        </w:rPr>
      </w:pPr>
    </w:p>
    <w:p w14:paraId="058738E5" w14:textId="7FD62C3E" w:rsidR="00770CB4" w:rsidRDefault="00E8634F" w:rsidP="00DE382D">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 xml:space="preserve">The proposed scheme amendments </w:t>
      </w:r>
      <w:r w:rsidR="001502A0">
        <w:rPr>
          <w:rFonts w:ascii="Arial" w:hAnsi="Arial" w:cs="Arial"/>
          <w:sz w:val="20"/>
          <w:szCs w:val="20"/>
        </w:rPr>
        <w:t xml:space="preserve">will </w:t>
      </w:r>
      <w:r w:rsidR="003A58A8">
        <w:rPr>
          <w:rFonts w:ascii="Arial" w:hAnsi="Arial" w:cs="Arial"/>
          <w:sz w:val="20"/>
          <w:szCs w:val="20"/>
        </w:rPr>
        <w:t>improve the visual appearance of the Original Permission and will provide a side infill extension more in keeping with the scale and appearance of the host Property and the surr</w:t>
      </w:r>
      <w:r w:rsidR="00182A05">
        <w:rPr>
          <w:rFonts w:ascii="Arial" w:hAnsi="Arial" w:cs="Arial"/>
          <w:sz w:val="20"/>
          <w:szCs w:val="20"/>
        </w:rPr>
        <w:t>ounding context</w:t>
      </w:r>
      <w:r w:rsidR="00A3120C">
        <w:rPr>
          <w:rFonts w:ascii="Arial" w:hAnsi="Arial" w:cs="Arial"/>
          <w:sz w:val="20"/>
          <w:szCs w:val="20"/>
        </w:rPr>
        <w:t xml:space="preserve"> and of an improved design and detailing. </w:t>
      </w:r>
    </w:p>
    <w:p w14:paraId="6A6145BB" w14:textId="77777777" w:rsidR="006F3E1A" w:rsidRDefault="006F3E1A" w:rsidP="006F3E1A">
      <w:pPr>
        <w:pStyle w:val="ListParagraph"/>
        <w:autoSpaceDE w:val="0"/>
        <w:autoSpaceDN w:val="0"/>
        <w:adjustRightInd w:val="0"/>
        <w:ind w:left="567" w:right="274"/>
        <w:jc w:val="both"/>
        <w:rPr>
          <w:rFonts w:ascii="Arial" w:hAnsi="Arial" w:cs="Arial"/>
          <w:sz w:val="20"/>
          <w:szCs w:val="20"/>
        </w:rPr>
      </w:pPr>
    </w:p>
    <w:p w14:paraId="32684D8D" w14:textId="12B3D87B" w:rsidR="00182A05" w:rsidRDefault="00182A05" w:rsidP="00DE382D">
      <w:pPr>
        <w:pStyle w:val="ListParagraph"/>
        <w:numPr>
          <w:ilvl w:val="1"/>
          <w:numId w:val="14"/>
        </w:numPr>
        <w:autoSpaceDE w:val="0"/>
        <w:autoSpaceDN w:val="0"/>
        <w:adjustRightInd w:val="0"/>
        <w:ind w:left="567" w:right="274" w:hanging="567"/>
        <w:jc w:val="both"/>
        <w:rPr>
          <w:rFonts w:ascii="Arial" w:hAnsi="Arial" w:cs="Arial"/>
          <w:sz w:val="20"/>
          <w:szCs w:val="20"/>
        </w:rPr>
      </w:pPr>
      <w:r>
        <w:rPr>
          <w:rFonts w:ascii="Arial" w:hAnsi="Arial" w:cs="Arial"/>
          <w:sz w:val="20"/>
          <w:szCs w:val="20"/>
        </w:rPr>
        <w:t>The works are restricted to the rear of the property and will not be visible from public views.</w:t>
      </w:r>
    </w:p>
    <w:p w14:paraId="5FDA3AA5" w14:textId="77777777" w:rsidR="006F3E1A" w:rsidRPr="006F3E1A" w:rsidRDefault="006F3E1A" w:rsidP="006F3E1A">
      <w:pPr>
        <w:autoSpaceDE w:val="0"/>
        <w:autoSpaceDN w:val="0"/>
        <w:adjustRightInd w:val="0"/>
        <w:ind w:right="274"/>
        <w:jc w:val="both"/>
        <w:rPr>
          <w:rFonts w:ascii="Arial" w:hAnsi="Arial" w:cs="Arial"/>
          <w:sz w:val="20"/>
          <w:szCs w:val="20"/>
        </w:rPr>
      </w:pPr>
    </w:p>
    <w:p w14:paraId="33D87486" w14:textId="41A9A213" w:rsidR="00182A05" w:rsidRPr="00DE382D" w:rsidRDefault="006F3E1A" w:rsidP="00DE382D">
      <w:pPr>
        <w:pStyle w:val="ListParagraph"/>
        <w:numPr>
          <w:ilvl w:val="1"/>
          <w:numId w:val="14"/>
        </w:numPr>
        <w:autoSpaceDE w:val="0"/>
        <w:autoSpaceDN w:val="0"/>
        <w:adjustRightInd w:val="0"/>
        <w:ind w:left="567" w:right="274" w:hanging="567"/>
        <w:jc w:val="both"/>
        <w:rPr>
          <w:rFonts w:ascii="Arial" w:hAnsi="Arial" w:cs="Arial"/>
          <w:sz w:val="20"/>
          <w:szCs w:val="20"/>
        </w:rPr>
      </w:pPr>
      <w:r w:rsidRPr="006F3E1A">
        <w:rPr>
          <w:rFonts w:ascii="Arial" w:hAnsi="Arial" w:cs="Arial"/>
          <w:sz w:val="20"/>
          <w:szCs w:val="20"/>
        </w:rPr>
        <w:t xml:space="preserve">It is therefore considered that the proposals will have </w:t>
      </w:r>
      <w:r w:rsidRPr="006F3E1A">
        <w:rPr>
          <w:rFonts w:ascii="Arial" w:hAnsi="Arial" w:cs="Arial"/>
          <w:b/>
          <w:bCs/>
          <w:sz w:val="20"/>
          <w:szCs w:val="20"/>
          <w:u w:val="single"/>
        </w:rPr>
        <w:t>no harm to the significance</w:t>
      </w:r>
      <w:r w:rsidRPr="006F3E1A">
        <w:rPr>
          <w:rFonts w:ascii="Arial" w:hAnsi="Arial" w:cs="Arial"/>
          <w:sz w:val="20"/>
          <w:szCs w:val="20"/>
        </w:rPr>
        <w:t xml:space="preserve"> of the non-designated heritage asset (the building) and there is no change to the ability to appreciate its significance.</w:t>
      </w:r>
    </w:p>
    <w:p w14:paraId="230EAA34" w14:textId="350C8501" w:rsidR="00B16624" w:rsidRDefault="00B16624" w:rsidP="00832C4C">
      <w:pPr>
        <w:pStyle w:val="Chromasubheadingnumbered"/>
        <w:rPr>
          <w:rFonts w:hint="eastAsia"/>
          <w:lang w:eastAsia="en-GB"/>
        </w:rPr>
      </w:pPr>
      <w:r>
        <w:rPr>
          <w:lang w:eastAsia="en-GB"/>
        </w:rPr>
        <w:t>Assessment of Harm and Benefits</w:t>
      </w:r>
    </w:p>
    <w:p w14:paraId="3AF3C494" w14:textId="220B80EB" w:rsidR="001F776A" w:rsidRPr="00FE0F32" w:rsidRDefault="001546B8" w:rsidP="005442A6">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E0F32">
        <w:rPr>
          <w:rFonts w:ascii="Arial" w:hAnsi="Arial" w:cs="Arial"/>
          <w:sz w:val="20"/>
          <w:szCs w:val="20"/>
          <w:lang w:eastAsia="en-GB"/>
        </w:rPr>
        <w:t xml:space="preserve">Inevitably </w:t>
      </w:r>
      <w:r w:rsidR="00787B30" w:rsidRPr="00FE0F32">
        <w:rPr>
          <w:rFonts w:ascii="Arial" w:hAnsi="Arial" w:cs="Arial"/>
          <w:sz w:val="20"/>
          <w:szCs w:val="20"/>
          <w:lang w:eastAsia="en-GB"/>
        </w:rPr>
        <w:t xml:space="preserve">proposals create </w:t>
      </w:r>
      <w:r w:rsidR="0042333F" w:rsidRPr="00FE0F32">
        <w:rPr>
          <w:rFonts w:ascii="Arial" w:hAnsi="Arial" w:cs="Arial"/>
          <w:sz w:val="20"/>
          <w:szCs w:val="20"/>
          <w:lang w:eastAsia="en-GB"/>
        </w:rPr>
        <w:t>a degree of</w:t>
      </w:r>
      <w:r w:rsidR="00787B30" w:rsidRPr="00FE0F32">
        <w:rPr>
          <w:rFonts w:ascii="Arial" w:hAnsi="Arial" w:cs="Arial"/>
          <w:sz w:val="20"/>
          <w:szCs w:val="20"/>
          <w:lang w:eastAsia="en-GB"/>
        </w:rPr>
        <w:t xml:space="preserve"> change to the Conservation Area. However, the significance of </w:t>
      </w:r>
      <w:r w:rsidR="00906629">
        <w:rPr>
          <w:rFonts w:ascii="Arial" w:hAnsi="Arial" w:cs="Arial"/>
          <w:sz w:val="20"/>
          <w:szCs w:val="20"/>
          <w:lang w:eastAsia="en-GB"/>
        </w:rPr>
        <w:t>the Site</w:t>
      </w:r>
      <w:r w:rsidR="00787B30" w:rsidRPr="00FE0F32">
        <w:rPr>
          <w:rFonts w:ascii="Arial" w:hAnsi="Arial" w:cs="Arial"/>
          <w:sz w:val="20"/>
          <w:szCs w:val="20"/>
          <w:lang w:eastAsia="en-GB"/>
        </w:rPr>
        <w:t xml:space="preserve"> predominantly lies i</w:t>
      </w:r>
      <w:r w:rsidR="00227103">
        <w:rPr>
          <w:rFonts w:ascii="Arial" w:hAnsi="Arial" w:cs="Arial"/>
          <w:sz w:val="20"/>
          <w:szCs w:val="20"/>
          <w:lang w:eastAsia="en-GB"/>
        </w:rPr>
        <w:t>n the character</w:t>
      </w:r>
      <w:r w:rsidR="0062135E">
        <w:rPr>
          <w:rFonts w:ascii="Arial" w:hAnsi="Arial" w:cs="Arial"/>
          <w:sz w:val="20"/>
          <w:szCs w:val="20"/>
          <w:lang w:eastAsia="en-GB"/>
        </w:rPr>
        <w:t>, style and scale</w:t>
      </w:r>
      <w:r w:rsidR="00227103">
        <w:rPr>
          <w:rFonts w:ascii="Arial" w:hAnsi="Arial" w:cs="Arial"/>
          <w:sz w:val="20"/>
          <w:szCs w:val="20"/>
          <w:lang w:eastAsia="en-GB"/>
        </w:rPr>
        <w:t xml:space="preserve"> of the </w:t>
      </w:r>
      <w:r w:rsidR="00596F35">
        <w:rPr>
          <w:rFonts w:ascii="Arial" w:hAnsi="Arial" w:cs="Arial"/>
          <w:sz w:val="20"/>
          <w:szCs w:val="20"/>
          <w:lang w:eastAsia="en-GB"/>
        </w:rPr>
        <w:t xml:space="preserve">front of the Property, as being </w:t>
      </w:r>
      <w:r w:rsidR="0062135E">
        <w:rPr>
          <w:rFonts w:ascii="Arial" w:hAnsi="Arial" w:cs="Arial"/>
          <w:sz w:val="20"/>
          <w:szCs w:val="20"/>
          <w:lang w:eastAsia="en-GB"/>
        </w:rPr>
        <w:t>characteristic</w:t>
      </w:r>
      <w:r w:rsidR="00596F35">
        <w:rPr>
          <w:rFonts w:ascii="Arial" w:hAnsi="Arial" w:cs="Arial"/>
          <w:sz w:val="20"/>
          <w:szCs w:val="20"/>
          <w:lang w:eastAsia="en-GB"/>
        </w:rPr>
        <w:t xml:space="preserve"> of the wider Conservation Area</w:t>
      </w:r>
      <w:r w:rsidR="002759E6">
        <w:rPr>
          <w:rFonts w:ascii="Arial" w:hAnsi="Arial" w:cs="Arial"/>
          <w:sz w:val="20"/>
          <w:szCs w:val="20"/>
          <w:lang w:eastAsia="en-GB"/>
        </w:rPr>
        <w:t xml:space="preserve">. </w:t>
      </w:r>
      <w:r w:rsidR="00274954">
        <w:rPr>
          <w:rFonts w:ascii="Arial" w:hAnsi="Arial" w:cs="Arial"/>
          <w:sz w:val="20"/>
          <w:szCs w:val="20"/>
          <w:lang w:eastAsia="en-GB"/>
        </w:rPr>
        <w:t xml:space="preserve"> </w:t>
      </w:r>
    </w:p>
    <w:p w14:paraId="40DA89FA" w14:textId="31844910" w:rsidR="001F776A" w:rsidRPr="00FE0F32" w:rsidRDefault="00787B30" w:rsidP="001F776A">
      <w:pPr>
        <w:pStyle w:val="ListParagraph"/>
        <w:autoSpaceDE w:val="0"/>
        <w:autoSpaceDN w:val="0"/>
        <w:adjustRightInd w:val="0"/>
        <w:ind w:left="567" w:right="274"/>
        <w:jc w:val="both"/>
        <w:rPr>
          <w:rFonts w:ascii="Arial" w:hAnsi="Arial" w:cs="Arial"/>
          <w:sz w:val="20"/>
          <w:szCs w:val="20"/>
          <w:lang w:eastAsia="en-GB"/>
        </w:rPr>
      </w:pPr>
      <w:r w:rsidRPr="00FE0F32">
        <w:rPr>
          <w:rFonts w:ascii="Arial" w:hAnsi="Arial" w:cs="Arial"/>
          <w:sz w:val="20"/>
          <w:szCs w:val="20"/>
          <w:lang w:eastAsia="en-GB"/>
        </w:rPr>
        <w:t xml:space="preserve"> </w:t>
      </w:r>
    </w:p>
    <w:p w14:paraId="5AFD13A9" w14:textId="7FF8BD91" w:rsidR="00787B30" w:rsidRPr="00FE0F32" w:rsidRDefault="00787B30" w:rsidP="005442A6">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E0F32">
        <w:rPr>
          <w:rFonts w:ascii="Arial" w:hAnsi="Arial" w:cs="Arial"/>
          <w:sz w:val="20"/>
          <w:szCs w:val="20"/>
          <w:lang w:eastAsia="en-GB"/>
        </w:rPr>
        <w:t xml:space="preserve">The </w:t>
      </w:r>
      <w:r w:rsidR="006F2D16">
        <w:rPr>
          <w:rFonts w:ascii="Arial" w:hAnsi="Arial" w:cs="Arial"/>
          <w:sz w:val="20"/>
          <w:szCs w:val="20"/>
          <w:lang w:eastAsia="en-GB"/>
        </w:rPr>
        <w:t>scheme amendments</w:t>
      </w:r>
      <w:r w:rsidRPr="00FE0F32">
        <w:rPr>
          <w:rFonts w:ascii="Arial" w:hAnsi="Arial" w:cs="Arial"/>
          <w:sz w:val="20"/>
          <w:szCs w:val="20"/>
          <w:lang w:eastAsia="en-GB"/>
        </w:rPr>
        <w:t xml:space="preserve"> are considered to cause no harm to the significance of </w:t>
      </w:r>
      <w:r w:rsidR="0062135E">
        <w:rPr>
          <w:rFonts w:ascii="Arial" w:hAnsi="Arial" w:cs="Arial"/>
          <w:sz w:val="20"/>
          <w:szCs w:val="20"/>
          <w:lang w:eastAsia="en-GB"/>
        </w:rPr>
        <w:t>the</w:t>
      </w:r>
      <w:r w:rsidRPr="00FE0F32">
        <w:rPr>
          <w:rFonts w:ascii="Arial" w:hAnsi="Arial" w:cs="Arial"/>
          <w:sz w:val="20"/>
          <w:szCs w:val="20"/>
          <w:lang w:eastAsia="en-GB"/>
        </w:rPr>
        <w:t xml:space="preserve"> Designated Heritage Asset</w:t>
      </w:r>
      <w:r w:rsidR="0062135E">
        <w:rPr>
          <w:rFonts w:ascii="Arial" w:hAnsi="Arial" w:cs="Arial"/>
          <w:sz w:val="20"/>
          <w:szCs w:val="20"/>
          <w:lang w:eastAsia="en-GB"/>
        </w:rPr>
        <w:t xml:space="preserve"> (the Conservation Area)</w:t>
      </w:r>
      <w:r w:rsidR="006F2D16">
        <w:rPr>
          <w:rFonts w:ascii="Arial" w:hAnsi="Arial" w:cs="Arial"/>
          <w:sz w:val="20"/>
          <w:szCs w:val="20"/>
          <w:lang w:eastAsia="en-GB"/>
        </w:rPr>
        <w:t xml:space="preserve"> and the Non-Designated Heritage Asset (the building)</w:t>
      </w:r>
      <w:r w:rsidRPr="00FE0F32">
        <w:rPr>
          <w:rFonts w:ascii="Arial" w:hAnsi="Arial" w:cs="Arial"/>
          <w:sz w:val="20"/>
          <w:szCs w:val="20"/>
          <w:lang w:eastAsia="en-GB"/>
        </w:rPr>
        <w:t xml:space="preserve">. It is considered the proposals accord with the </w:t>
      </w:r>
      <w:r w:rsidR="00022686" w:rsidRPr="00FE0F32">
        <w:rPr>
          <w:rFonts w:ascii="Arial" w:hAnsi="Arial" w:cs="Arial"/>
          <w:sz w:val="20"/>
          <w:szCs w:val="20"/>
          <w:lang w:eastAsia="en-GB"/>
        </w:rPr>
        <w:t xml:space="preserve">Statutory tests, the </w:t>
      </w:r>
      <w:r w:rsidRPr="00FE0F32">
        <w:rPr>
          <w:rFonts w:ascii="Arial" w:hAnsi="Arial" w:cs="Arial"/>
          <w:sz w:val="20"/>
          <w:szCs w:val="20"/>
          <w:lang w:eastAsia="en-GB"/>
        </w:rPr>
        <w:t>NPPF</w:t>
      </w:r>
      <w:r w:rsidR="00022686" w:rsidRPr="00FE0F32">
        <w:rPr>
          <w:rFonts w:ascii="Arial" w:hAnsi="Arial" w:cs="Arial"/>
          <w:sz w:val="20"/>
          <w:szCs w:val="20"/>
          <w:lang w:eastAsia="en-GB"/>
        </w:rPr>
        <w:t xml:space="preserve"> and Local Planning Policies.</w:t>
      </w:r>
    </w:p>
    <w:p w14:paraId="5C57451C" w14:textId="77777777" w:rsidR="00000C22" w:rsidRPr="00172663" w:rsidRDefault="00000C22" w:rsidP="00172663">
      <w:pPr>
        <w:autoSpaceDE w:val="0"/>
        <w:autoSpaceDN w:val="0"/>
        <w:adjustRightInd w:val="0"/>
        <w:ind w:right="274"/>
        <w:jc w:val="both"/>
        <w:rPr>
          <w:rFonts w:ascii="Arial" w:hAnsi="Arial" w:cs="Arial"/>
          <w:sz w:val="20"/>
          <w:szCs w:val="20"/>
          <w:highlight w:val="yellow"/>
          <w:lang w:eastAsia="en-GB"/>
        </w:rPr>
      </w:pPr>
    </w:p>
    <w:p w14:paraId="3A9CE4FD" w14:textId="5D03BC77" w:rsidR="00B16624" w:rsidRPr="00FE0F32" w:rsidRDefault="00B16624" w:rsidP="00B16624">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sidRPr="00FE0F32">
        <w:rPr>
          <w:rFonts w:ascii="Arial" w:hAnsi="Arial" w:cs="Arial"/>
          <w:sz w:val="20"/>
          <w:szCs w:val="20"/>
          <w:lang w:eastAsia="en-GB"/>
        </w:rPr>
        <w:t xml:space="preserve">As identified above, the </w:t>
      </w:r>
      <w:r w:rsidR="007B198C">
        <w:rPr>
          <w:rFonts w:ascii="Arial" w:hAnsi="Arial" w:cs="Arial"/>
          <w:sz w:val="20"/>
          <w:szCs w:val="20"/>
          <w:lang w:eastAsia="en-GB"/>
        </w:rPr>
        <w:t>scheme amendments</w:t>
      </w:r>
      <w:r w:rsidRPr="00FE0F32">
        <w:rPr>
          <w:rFonts w:ascii="Arial" w:hAnsi="Arial" w:cs="Arial"/>
          <w:sz w:val="20"/>
          <w:szCs w:val="20"/>
          <w:lang w:eastAsia="en-GB"/>
        </w:rPr>
        <w:t xml:space="preserve"> are considered to have no harm </w:t>
      </w:r>
      <w:r w:rsidR="0052491B" w:rsidRPr="00FE0F32">
        <w:rPr>
          <w:rFonts w:ascii="Arial" w:hAnsi="Arial" w:cs="Arial"/>
          <w:sz w:val="20"/>
          <w:szCs w:val="20"/>
          <w:lang w:eastAsia="en-GB"/>
        </w:rPr>
        <w:t xml:space="preserve">to the </w:t>
      </w:r>
      <w:r w:rsidR="001623C4" w:rsidRPr="00FE0F32">
        <w:rPr>
          <w:rFonts w:ascii="Arial" w:hAnsi="Arial" w:cs="Arial"/>
          <w:sz w:val="20"/>
          <w:szCs w:val="20"/>
          <w:lang w:eastAsia="en-GB"/>
        </w:rPr>
        <w:t xml:space="preserve">designated </w:t>
      </w:r>
      <w:r w:rsidR="007B198C">
        <w:rPr>
          <w:rFonts w:ascii="Arial" w:hAnsi="Arial" w:cs="Arial"/>
          <w:sz w:val="20"/>
          <w:szCs w:val="20"/>
          <w:lang w:eastAsia="en-GB"/>
        </w:rPr>
        <w:t xml:space="preserve">and non-designated </w:t>
      </w:r>
      <w:r w:rsidR="0052491B" w:rsidRPr="00FE0F32">
        <w:rPr>
          <w:rFonts w:ascii="Arial" w:hAnsi="Arial" w:cs="Arial"/>
          <w:sz w:val="20"/>
          <w:szCs w:val="20"/>
          <w:lang w:eastAsia="en-GB"/>
        </w:rPr>
        <w:t>Heritage Asset</w:t>
      </w:r>
      <w:r w:rsidR="007B198C">
        <w:rPr>
          <w:rFonts w:ascii="Arial" w:hAnsi="Arial" w:cs="Arial"/>
          <w:sz w:val="20"/>
          <w:szCs w:val="20"/>
          <w:lang w:eastAsia="en-GB"/>
        </w:rPr>
        <w:t>s</w:t>
      </w:r>
      <w:r w:rsidR="001623C4" w:rsidRPr="00FE0F32">
        <w:rPr>
          <w:rFonts w:ascii="Arial" w:hAnsi="Arial" w:cs="Arial"/>
          <w:sz w:val="20"/>
          <w:szCs w:val="20"/>
          <w:lang w:eastAsia="en-GB"/>
        </w:rPr>
        <w:t xml:space="preserve">. </w:t>
      </w:r>
      <w:r w:rsidR="0052491B" w:rsidRPr="00FE0F32">
        <w:rPr>
          <w:rFonts w:ascii="Arial" w:hAnsi="Arial" w:cs="Arial"/>
          <w:sz w:val="20"/>
          <w:szCs w:val="20"/>
          <w:lang w:eastAsia="en-GB"/>
        </w:rPr>
        <w:t xml:space="preserve">Notwithstanding this, even if an alternative view were given, and </w:t>
      </w:r>
      <w:r w:rsidR="00A46A70" w:rsidRPr="00FE0F32">
        <w:rPr>
          <w:rFonts w:ascii="Arial" w:hAnsi="Arial" w:cs="Arial"/>
          <w:sz w:val="20"/>
          <w:szCs w:val="20"/>
          <w:lang w:eastAsia="en-GB"/>
        </w:rPr>
        <w:t xml:space="preserve">it be considered that the </w:t>
      </w:r>
      <w:r w:rsidR="007B198C">
        <w:rPr>
          <w:rFonts w:ascii="Arial" w:hAnsi="Arial" w:cs="Arial"/>
          <w:sz w:val="20"/>
          <w:szCs w:val="20"/>
          <w:lang w:eastAsia="en-GB"/>
        </w:rPr>
        <w:t>scheme amendments</w:t>
      </w:r>
      <w:r w:rsidR="00A46A70" w:rsidRPr="00FE0F32">
        <w:rPr>
          <w:rFonts w:ascii="Arial" w:hAnsi="Arial" w:cs="Arial"/>
          <w:sz w:val="20"/>
          <w:szCs w:val="20"/>
          <w:lang w:eastAsia="en-GB"/>
        </w:rPr>
        <w:t xml:space="preserve"> would result in ‘less than substantial’ harm to the Heritage Asset</w:t>
      </w:r>
      <w:r w:rsidR="007B198C">
        <w:rPr>
          <w:rFonts w:ascii="Arial" w:hAnsi="Arial" w:cs="Arial"/>
          <w:sz w:val="20"/>
          <w:szCs w:val="20"/>
          <w:lang w:eastAsia="en-GB"/>
        </w:rPr>
        <w:t>s (designated and non-designated)</w:t>
      </w:r>
      <w:r w:rsidR="00A46A70" w:rsidRPr="00FE0F32">
        <w:rPr>
          <w:rFonts w:ascii="Arial" w:hAnsi="Arial" w:cs="Arial"/>
          <w:sz w:val="20"/>
          <w:szCs w:val="20"/>
          <w:lang w:eastAsia="en-GB"/>
        </w:rPr>
        <w:t xml:space="preserve">, we would </w:t>
      </w:r>
      <w:r w:rsidR="00735E6B" w:rsidRPr="00FE0F32">
        <w:rPr>
          <w:rFonts w:ascii="Arial" w:hAnsi="Arial" w:cs="Arial"/>
          <w:sz w:val="20"/>
          <w:szCs w:val="20"/>
          <w:lang w:eastAsia="en-GB"/>
        </w:rPr>
        <w:t>contend that</w:t>
      </w:r>
      <w:r w:rsidR="009130D0" w:rsidRPr="00FE0F32">
        <w:rPr>
          <w:rFonts w:ascii="Arial" w:hAnsi="Arial" w:cs="Arial"/>
          <w:sz w:val="20"/>
          <w:szCs w:val="20"/>
          <w:lang w:eastAsia="en-GB"/>
        </w:rPr>
        <w:t xml:space="preserve"> there</w:t>
      </w:r>
      <w:r w:rsidR="00735E6B" w:rsidRPr="00FE0F32">
        <w:rPr>
          <w:rFonts w:ascii="Arial" w:hAnsi="Arial" w:cs="Arial"/>
          <w:sz w:val="20"/>
          <w:szCs w:val="20"/>
          <w:lang w:eastAsia="en-GB"/>
        </w:rPr>
        <w:t xml:space="preserve"> </w:t>
      </w:r>
      <w:r w:rsidR="002D7CDA" w:rsidRPr="00FE0F32">
        <w:rPr>
          <w:rFonts w:ascii="Arial" w:hAnsi="Arial" w:cs="Arial"/>
          <w:sz w:val="20"/>
          <w:szCs w:val="20"/>
          <w:lang w:eastAsia="en-GB"/>
        </w:rPr>
        <w:t xml:space="preserve">are associated benefits </w:t>
      </w:r>
      <w:r w:rsidR="009130D0" w:rsidRPr="00FE0F32">
        <w:rPr>
          <w:rFonts w:ascii="Arial" w:hAnsi="Arial" w:cs="Arial"/>
          <w:sz w:val="20"/>
          <w:szCs w:val="20"/>
          <w:lang w:eastAsia="en-GB"/>
        </w:rPr>
        <w:t xml:space="preserve">that would offset any such harm. </w:t>
      </w:r>
      <w:r w:rsidR="000E06D2" w:rsidRPr="00FE0F32">
        <w:rPr>
          <w:rFonts w:ascii="Arial" w:hAnsi="Arial" w:cs="Arial"/>
          <w:sz w:val="20"/>
          <w:szCs w:val="20"/>
          <w:lang w:eastAsia="en-GB"/>
        </w:rPr>
        <w:t>These include the following:</w:t>
      </w:r>
    </w:p>
    <w:p w14:paraId="22ACC2A9" w14:textId="77777777" w:rsidR="000E06D2" w:rsidRPr="00F74433" w:rsidRDefault="000E06D2" w:rsidP="000E06D2">
      <w:pPr>
        <w:pStyle w:val="ListParagraph"/>
        <w:rPr>
          <w:rFonts w:ascii="Arial" w:hAnsi="Arial" w:cs="Arial"/>
          <w:sz w:val="20"/>
          <w:szCs w:val="20"/>
          <w:highlight w:val="yellow"/>
          <w:lang w:eastAsia="en-GB"/>
        </w:rPr>
      </w:pPr>
    </w:p>
    <w:p w14:paraId="283F8C24" w14:textId="2303E5CF" w:rsidR="00492306" w:rsidRDefault="000E31D2" w:rsidP="00445198">
      <w:pPr>
        <w:pStyle w:val="ListParagraph"/>
        <w:numPr>
          <w:ilvl w:val="0"/>
          <w:numId w:val="30"/>
        </w:numPr>
        <w:autoSpaceDE w:val="0"/>
        <w:autoSpaceDN w:val="0"/>
        <w:adjustRightInd w:val="0"/>
        <w:ind w:right="274"/>
        <w:jc w:val="both"/>
        <w:rPr>
          <w:rFonts w:ascii="Arial" w:hAnsi="Arial" w:cs="Arial"/>
          <w:sz w:val="20"/>
          <w:szCs w:val="20"/>
          <w:lang w:eastAsia="en-GB"/>
        </w:rPr>
      </w:pPr>
      <w:r w:rsidRPr="000E31D2">
        <w:rPr>
          <w:rFonts w:ascii="Arial" w:hAnsi="Arial" w:cs="Arial"/>
          <w:sz w:val="20"/>
          <w:szCs w:val="20"/>
          <w:lang w:eastAsia="en-GB"/>
        </w:rPr>
        <w:t xml:space="preserve">The provision </w:t>
      </w:r>
      <w:r w:rsidR="007B198C">
        <w:rPr>
          <w:rFonts w:ascii="Arial" w:hAnsi="Arial" w:cs="Arial"/>
          <w:sz w:val="20"/>
          <w:szCs w:val="20"/>
          <w:lang w:eastAsia="en-GB"/>
        </w:rPr>
        <w:t>of an improved design solution over the approved position</w:t>
      </w:r>
    </w:p>
    <w:p w14:paraId="321C10A4" w14:textId="0FB9AEB5" w:rsidR="007B198C" w:rsidRDefault="007B198C" w:rsidP="00445198">
      <w:pPr>
        <w:pStyle w:val="ListParagraph"/>
        <w:numPr>
          <w:ilvl w:val="0"/>
          <w:numId w:val="30"/>
        </w:numPr>
        <w:autoSpaceDE w:val="0"/>
        <w:autoSpaceDN w:val="0"/>
        <w:adjustRightInd w:val="0"/>
        <w:ind w:right="274"/>
        <w:jc w:val="both"/>
        <w:rPr>
          <w:rFonts w:ascii="Arial" w:hAnsi="Arial" w:cs="Arial"/>
          <w:sz w:val="20"/>
          <w:szCs w:val="20"/>
          <w:lang w:eastAsia="en-GB"/>
        </w:rPr>
      </w:pPr>
      <w:r>
        <w:rPr>
          <w:rFonts w:ascii="Arial" w:hAnsi="Arial" w:cs="Arial"/>
          <w:sz w:val="20"/>
          <w:szCs w:val="20"/>
          <w:lang w:eastAsia="en-GB"/>
        </w:rPr>
        <w:t>The provision of a design and scale more in keeping with the host Property</w:t>
      </w:r>
    </w:p>
    <w:p w14:paraId="255AC8DD" w14:textId="0CC02DE4" w:rsidR="007B198C" w:rsidRDefault="007B198C" w:rsidP="00445198">
      <w:pPr>
        <w:pStyle w:val="ListParagraph"/>
        <w:numPr>
          <w:ilvl w:val="0"/>
          <w:numId w:val="30"/>
        </w:numPr>
        <w:autoSpaceDE w:val="0"/>
        <w:autoSpaceDN w:val="0"/>
        <w:adjustRightInd w:val="0"/>
        <w:ind w:right="274"/>
        <w:jc w:val="both"/>
        <w:rPr>
          <w:rFonts w:ascii="Arial" w:hAnsi="Arial" w:cs="Arial"/>
          <w:sz w:val="20"/>
          <w:szCs w:val="20"/>
          <w:lang w:eastAsia="en-GB"/>
        </w:rPr>
      </w:pPr>
      <w:r>
        <w:rPr>
          <w:rFonts w:ascii="Arial" w:hAnsi="Arial" w:cs="Arial"/>
          <w:sz w:val="20"/>
          <w:szCs w:val="20"/>
          <w:lang w:eastAsia="en-GB"/>
        </w:rPr>
        <w:t xml:space="preserve">The provision of a </w:t>
      </w:r>
      <w:r w:rsidR="005D7356">
        <w:rPr>
          <w:rFonts w:ascii="Arial" w:hAnsi="Arial" w:cs="Arial"/>
          <w:sz w:val="20"/>
          <w:szCs w:val="20"/>
          <w:lang w:eastAsia="en-GB"/>
        </w:rPr>
        <w:t>design and scale commensurate with the immediate and surrounding context of the Site</w:t>
      </w:r>
    </w:p>
    <w:p w14:paraId="2CC929FF" w14:textId="6016B1AE" w:rsidR="008A1C5C" w:rsidRDefault="008A1C5C" w:rsidP="00445198">
      <w:pPr>
        <w:pStyle w:val="ListParagraph"/>
        <w:numPr>
          <w:ilvl w:val="0"/>
          <w:numId w:val="30"/>
        </w:numPr>
        <w:autoSpaceDE w:val="0"/>
        <w:autoSpaceDN w:val="0"/>
        <w:adjustRightInd w:val="0"/>
        <w:ind w:right="274"/>
        <w:jc w:val="both"/>
        <w:rPr>
          <w:rFonts w:ascii="Arial" w:hAnsi="Arial" w:cs="Arial"/>
          <w:sz w:val="20"/>
          <w:szCs w:val="20"/>
          <w:lang w:eastAsia="en-GB"/>
        </w:rPr>
      </w:pPr>
      <w:r>
        <w:rPr>
          <w:rFonts w:ascii="Arial" w:hAnsi="Arial" w:cs="Arial"/>
          <w:sz w:val="20"/>
          <w:szCs w:val="20"/>
          <w:lang w:eastAsia="en-GB"/>
        </w:rPr>
        <w:t xml:space="preserve">The provision of </w:t>
      </w:r>
      <w:r w:rsidR="005D7356">
        <w:rPr>
          <w:rFonts w:ascii="Arial" w:hAnsi="Arial" w:cs="Arial"/>
          <w:sz w:val="20"/>
          <w:szCs w:val="20"/>
          <w:lang w:eastAsia="en-GB"/>
        </w:rPr>
        <w:t>improved internal living arrangements – generally and above the approved position</w:t>
      </w:r>
    </w:p>
    <w:p w14:paraId="3F25978F" w14:textId="12487EC1" w:rsidR="008A1C5C" w:rsidRPr="00F77196" w:rsidRDefault="008A1C5C" w:rsidP="001736E1">
      <w:pPr>
        <w:pStyle w:val="ListParagraph"/>
        <w:numPr>
          <w:ilvl w:val="0"/>
          <w:numId w:val="30"/>
        </w:numPr>
        <w:autoSpaceDE w:val="0"/>
        <w:autoSpaceDN w:val="0"/>
        <w:adjustRightInd w:val="0"/>
        <w:ind w:right="274"/>
        <w:jc w:val="both"/>
        <w:rPr>
          <w:rFonts w:ascii="Arial" w:hAnsi="Arial" w:cs="Arial"/>
          <w:sz w:val="20"/>
          <w:szCs w:val="20"/>
          <w:lang w:eastAsia="en-GB"/>
        </w:rPr>
      </w:pPr>
      <w:r>
        <w:rPr>
          <w:rFonts w:ascii="Arial" w:hAnsi="Arial" w:cs="Arial"/>
          <w:sz w:val="20"/>
          <w:szCs w:val="20"/>
          <w:lang w:eastAsia="en-GB"/>
        </w:rPr>
        <w:lastRenderedPageBreak/>
        <w:t xml:space="preserve">The provision of </w:t>
      </w:r>
      <w:r w:rsidR="001736E1">
        <w:rPr>
          <w:rFonts w:ascii="Arial" w:hAnsi="Arial" w:cs="Arial"/>
          <w:sz w:val="20"/>
          <w:szCs w:val="20"/>
          <w:lang w:eastAsia="en-GB"/>
        </w:rPr>
        <w:t xml:space="preserve">better quality and durable materials than what has been approved previously. </w:t>
      </w:r>
    </w:p>
    <w:p w14:paraId="5D00C5EA" w14:textId="77777777" w:rsidR="00445198" w:rsidRDefault="00445198" w:rsidP="00445198">
      <w:pPr>
        <w:pStyle w:val="ListParagraph"/>
        <w:autoSpaceDE w:val="0"/>
        <w:autoSpaceDN w:val="0"/>
        <w:adjustRightInd w:val="0"/>
        <w:ind w:left="927" w:right="274"/>
        <w:jc w:val="both"/>
        <w:rPr>
          <w:rFonts w:ascii="Arial" w:hAnsi="Arial" w:cs="Arial"/>
          <w:sz w:val="20"/>
          <w:szCs w:val="20"/>
          <w:lang w:eastAsia="en-GB"/>
        </w:rPr>
      </w:pPr>
    </w:p>
    <w:p w14:paraId="39283B2D" w14:textId="522E6D71" w:rsidR="00AE7615" w:rsidRPr="00ED7F5F" w:rsidRDefault="00492306" w:rsidP="00ED7F5F">
      <w:pPr>
        <w:pStyle w:val="ListParagraph"/>
        <w:numPr>
          <w:ilvl w:val="1"/>
          <w:numId w:val="14"/>
        </w:numPr>
        <w:autoSpaceDE w:val="0"/>
        <w:autoSpaceDN w:val="0"/>
        <w:adjustRightInd w:val="0"/>
        <w:ind w:left="567" w:right="274" w:hanging="567"/>
        <w:jc w:val="both"/>
        <w:rPr>
          <w:rFonts w:ascii="Arial" w:hAnsi="Arial" w:cs="Arial"/>
          <w:sz w:val="20"/>
          <w:szCs w:val="20"/>
          <w:lang w:eastAsia="en-GB"/>
        </w:rPr>
      </w:pPr>
      <w:r>
        <w:rPr>
          <w:rFonts w:ascii="Arial" w:hAnsi="Arial" w:cs="Arial"/>
          <w:sz w:val="20"/>
          <w:szCs w:val="20"/>
          <w:lang w:eastAsia="en-GB"/>
        </w:rPr>
        <w:t xml:space="preserve">It is contended that the proposals have no harm, even so, there are clear benefits which would outweigh less than substantial harm in any event. </w:t>
      </w:r>
    </w:p>
    <w:p w14:paraId="717AF77F" w14:textId="6CB97D5A" w:rsidR="00B16624" w:rsidRPr="00B16624" w:rsidRDefault="00683630" w:rsidP="00832C4C">
      <w:pPr>
        <w:pStyle w:val="Chromasubheadingnumbered"/>
        <w:rPr>
          <w:rFonts w:hint="eastAsia"/>
          <w:lang w:eastAsia="en-GB"/>
        </w:rPr>
      </w:pPr>
      <w:r>
        <w:rPr>
          <w:lang w:eastAsia="en-GB"/>
        </w:rPr>
        <w:t>Conclusions</w:t>
      </w:r>
    </w:p>
    <w:p w14:paraId="124FC735" w14:textId="1671546E" w:rsidR="00762EFC" w:rsidRDefault="00CE7665" w:rsidP="00691FB9">
      <w:pPr>
        <w:pStyle w:val="ListParagraph"/>
        <w:numPr>
          <w:ilvl w:val="1"/>
          <w:numId w:val="14"/>
        </w:numPr>
        <w:ind w:left="567" w:right="274" w:hanging="567"/>
        <w:jc w:val="both"/>
        <w:rPr>
          <w:rFonts w:ascii="Arial" w:hAnsi="Arial" w:cs="Arial"/>
          <w:sz w:val="20"/>
          <w:szCs w:val="20"/>
          <w:lang w:eastAsia="en-GB"/>
        </w:rPr>
      </w:pPr>
      <w:r>
        <w:rPr>
          <w:rFonts w:ascii="Arial" w:hAnsi="Arial" w:cs="Arial"/>
          <w:sz w:val="20"/>
          <w:szCs w:val="20"/>
          <w:lang w:eastAsia="en-GB"/>
        </w:rPr>
        <w:t xml:space="preserve">The proposed works are considered to be appropriate and sympathetic to the </w:t>
      </w:r>
      <w:r w:rsidR="00352465">
        <w:rPr>
          <w:rFonts w:ascii="Arial" w:hAnsi="Arial" w:cs="Arial"/>
          <w:sz w:val="20"/>
          <w:szCs w:val="20"/>
          <w:lang w:eastAsia="en-GB"/>
        </w:rPr>
        <w:t>designated</w:t>
      </w:r>
      <w:r w:rsidR="001736E1">
        <w:rPr>
          <w:rFonts w:ascii="Arial" w:hAnsi="Arial" w:cs="Arial"/>
          <w:sz w:val="20"/>
          <w:szCs w:val="20"/>
          <w:lang w:eastAsia="en-GB"/>
        </w:rPr>
        <w:t xml:space="preserve"> and non-designated</w:t>
      </w:r>
      <w:r w:rsidR="00352465">
        <w:rPr>
          <w:rFonts w:ascii="Arial" w:hAnsi="Arial" w:cs="Arial"/>
          <w:sz w:val="20"/>
          <w:szCs w:val="20"/>
          <w:lang w:eastAsia="en-GB"/>
        </w:rPr>
        <w:t xml:space="preserve"> </w:t>
      </w:r>
      <w:r>
        <w:rPr>
          <w:rFonts w:ascii="Arial" w:hAnsi="Arial" w:cs="Arial"/>
          <w:sz w:val="20"/>
          <w:szCs w:val="20"/>
          <w:lang w:eastAsia="en-GB"/>
        </w:rPr>
        <w:t>heritage asset</w:t>
      </w:r>
      <w:r w:rsidR="001736E1">
        <w:rPr>
          <w:rFonts w:ascii="Arial" w:hAnsi="Arial" w:cs="Arial"/>
          <w:sz w:val="20"/>
          <w:szCs w:val="20"/>
          <w:lang w:eastAsia="en-GB"/>
        </w:rPr>
        <w:t>s</w:t>
      </w:r>
      <w:r w:rsidR="00352465">
        <w:rPr>
          <w:rFonts w:ascii="Arial" w:hAnsi="Arial" w:cs="Arial"/>
          <w:sz w:val="20"/>
          <w:szCs w:val="20"/>
          <w:lang w:eastAsia="en-GB"/>
        </w:rPr>
        <w:t xml:space="preserve"> </w:t>
      </w:r>
      <w:r>
        <w:rPr>
          <w:rFonts w:ascii="Arial" w:hAnsi="Arial" w:cs="Arial"/>
          <w:sz w:val="20"/>
          <w:szCs w:val="20"/>
          <w:lang w:eastAsia="en-GB"/>
        </w:rPr>
        <w:t xml:space="preserve">and would not have an adverse impact on the </w:t>
      </w:r>
      <w:r w:rsidR="008E77E6">
        <w:rPr>
          <w:rFonts w:ascii="Arial" w:hAnsi="Arial" w:cs="Arial"/>
          <w:sz w:val="20"/>
          <w:szCs w:val="20"/>
          <w:lang w:eastAsia="en-GB"/>
        </w:rPr>
        <w:t xml:space="preserve">character or appearance of the </w:t>
      </w:r>
      <w:r w:rsidR="001736E1">
        <w:rPr>
          <w:rFonts w:ascii="Arial" w:hAnsi="Arial" w:cs="Arial"/>
          <w:sz w:val="20"/>
          <w:szCs w:val="20"/>
          <w:lang w:eastAsia="en-GB"/>
        </w:rPr>
        <w:t>West End Green</w:t>
      </w:r>
      <w:r w:rsidR="008E77E6">
        <w:rPr>
          <w:rFonts w:ascii="Arial" w:hAnsi="Arial" w:cs="Arial"/>
          <w:sz w:val="20"/>
          <w:szCs w:val="20"/>
          <w:lang w:eastAsia="en-GB"/>
        </w:rPr>
        <w:t xml:space="preserve"> Conservation Area. </w:t>
      </w:r>
    </w:p>
    <w:p w14:paraId="7E9EC32D" w14:textId="77777777" w:rsidR="00E43264" w:rsidRDefault="00E43264" w:rsidP="00E43264">
      <w:pPr>
        <w:pStyle w:val="ListParagraph"/>
        <w:ind w:left="567" w:right="274"/>
        <w:jc w:val="both"/>
        <w:rPr>
          <w:rFonts w:ascii="Arial" w:hAnsi="Arial" w:cs="Arial"/>
          <w:sz w:val="20"/>
          <w:szCs w:val="20"/>
          <w:lang w:eastAsia="en-GB"/>
        </w:rPr>
      </w:pPr>
    </w:p>
    <w:p w14:paraId="7A90B174" w14:textId="4384CDF1" w:rsidR="00E43264" w:rsidRPr="002E7173" w:rsidRDefault="00E43264" w:rsidP="00E43264">
      <w:pPr>
        <w:pStyle w:val="ListParagraph"/>
        <w:numPr>
          <w:ilvl w:val="1"/>
          <w:numId w:val="14"/>
        </w:numPr>
        <w:ind w:left="567" w:right="274" w:hanging="567"/>
        <w:jc w:val="both"/>
        <w:rPr>
          <w:rFonts w:ascii="Arial" w:hAnsi="Arial" w:cs="Arial"/>
          <w:sz w:val="20"/>
          <w:szCs w:val="20"/>
          <w:lang w:eastAsia="en-GB"/>
        </w:rPr>
      </w:pPr>
      <w:r w:rsidRPr="002E7173">
        <w:rPr>
          <w:rFonts w:ascii="Arial" w:hAnsi="Arial" w:cs="Arial"/>
          <w:sz w:val="20"/>
          <w:szCs w:val="20"/>
          <w:lang w:eastAsia="en-GB"/>
        </w:rPr>
        <w:t xml:space="preserve">The proposals </w:t>
      </w:r>
      <w:r w:rsidR="00D82246">
        <w:rPr>
          <w:rFonts w:ascii="Arial" w:hAnsi="Arial" w:cs="Arial"/>
          <w:sz w:val="20"/>
          <w:szCs w:val="20"/>
          <w:lang w:eastAsia="en-GB"/>
        </w:rPr>
        <w:t xml:space="preserve">will significantly improve </w:t>
      </w:r>
      <w:r w:rsidR="001736E1">
        <w:rPr>
          <w:rFonts w:ascii="Arial" w:hAnsi="Arial" w:cs="Arial"/>
          <w:sz w:val="20"/>
          <w:szCs w:val="20"/>
          <w:lang w:eastAsia="en-GB"/>
        </w:rPr>
        <w:t xml:space="preserve">the </w:t>
      </w:r>
      <w:r w:rsidR="00FA341E">
        <w:rPr>
          <w:rFonts w:ascii="Arial" w:hAnsi="Arial" w:cs="Arial"/>
          <w:sz w:val="20"/>
          <w:szCs w:val="20"/>
          <w:lang w:eastAsia="en-GB"/>
        </w:rPr>
        <w:t xml:space="preserve">approved planning position at the Property and provide a more considered and </w:t>
      </w:r>
      <w:r w:rsidR="008D5753">
        <w:rPr>
          <w:rFonts w:ascii="Arial" w:hAnsi="Arial" w:cs="Arial"/>
          <w:sz w:val="20"/>
          <w:szCs w:val="20"/>
          <w:lang w:eastAsia="en-GB"/>
        </w:rPr>
        <w:t>visual</w:t>
      </w:r>
      <w:r w:rsidR="00232120">
        <w:rPr>
          <w:rFonts w:ascii="Arial" w:hAnsi="Arial" w:cs="Arial"/>
          <w:sz w:val="20"/>
          <w:szCs w:val="20"/>
          <w:lang w:eastAsia="en-GB"/>
        </w:rPr>
        <w:t>ly</w:t>
      </w:r>
      <w:r w:rsidR="008D5753">
        <w:rPr>
          <w:rFonts w:ascii="Arial" w:hAnsi="Arial" w:cs="Arial"/>
          <w:sz w:val="20"/>
          <w:szCs w:val="20"/>
          <w:lang w:eastAsia="en-GB"/>
        </w:rPr>
        <w:t xml:space="preserve"> pleasing side infill extension. </w:t>
      </w:r>
      <w:r w:rsidR="00FA341E">
        <w:rPr>
          <w:rFonts w:ascii="Arial" w:hAnsi="Arial" w:cs="Arial"/>
          <w:sz w:val="20"/>
          <w:szCs w:val="20"/>
          <w:lang w:eastAsia="en-GB"/>
        </w:rPr>
        <w:t xml:space="preserve"> </w:t>
      </w:r>
      <w:r w:rsidR="002E7173" w:rsidRPr="002E7173">
        <w:rPr>
          <w:rFonts w:ascii="Arial" w:hAnsi="Arial" w:cs="Arial"/>
          <w:sz w:val="20"/>
          <w:szCs w:val="20"/>
          <w:lang w:eastAsia="en-GB"/>
        </w:rPr>
        <w:t xml:space="preserve"> </w:t>
      </w:r>
      <w:r w:rsidRPr="002E7173">
        <w:rPr>
          <w:rFonts w:ascii="Arial" w:hAnsi="Arial" w:cs="Arial"/>
          <w:sz w:val="20"/>
          <w:szCs w:val="20"/>
          <w:lang w:eastAsia="en-GB"/>
        </w:rPr>
        <w:t xml:space="preserve"> </w:t>
      </w:r>
    </w:p>
    <w:p w14:paraId="5DFD3AC1" w14:textId="77777777" w:rsidR="00500D9E" w:rsidRDefault="00500D9E" w:rsidP="00500D9E">
      <w:pPr>
        <w:pStyle w:val="ListParagraph"/>
        <w:ind w:left="567" w:right="274"/>
        <w:jc w:val="both"/>
        <w:rPr>
          <w:rFonts w:ascii="Arial" w:hAnsi="Arial" w:cs="Arial"/>
          <w:sz w:val="20"/>
          <w:szCs w:val="20"/>
          <w:lang w:eastAsia="en-GB"/>
        </w:rPr>
      </w:pPr>
    </w:p>
    <w:p w14:paraId="449F674D" w14:textId="5CE16BF9" w:rsidR="00762EFC" w:rsidRDefault="00762EFC" w:rsidP="00762EFC">
      <w:pPr>
        <w:pStyle w:val="ListParagraph"/>
        <w:numPr>
          <w:ilvl w:val="1"/>
          <w:numId w:val="14"/>
        </w:numPr>
        <w:ind w:left="567" w:right="274" w:hanging="567"/>
        <w:jc w:val="both"/>
        <w:rPr>
          <w:rFonts w:ascii="Arial" w:hAnsi="Arial" w:cs="Arial"/>
          <w:sz w:val="20"/>
          <w:szCs w:val="20"/>
          <w:lang w:eastAsia="en-GB"/>
        </w:rPr>
      </w:pPr>
      <w:r>
        <w:rPr>
          <w:rFonts w:ascii="Arial" w:hAnsi="Arial" w:cs="Arial"/>
          <w:sz w:val="20"/>
          <w:szCs w:val="20"/>
          <w:lang w:eastAsia="en-GB"/>
        </w:rPr>
        <w:t xml:space="preserve">The proposals would thereby full accord with the relevant polices of the NPPF and those set out within the Local Plan. </w:t>
      </w:r>
    </w:p>
    <w:p w14:paraId="35756AF9" w14:textId="77777777" w:rsidR="00C94F87" w:rsidRPr="00C94F87" w:rsidRDefault="00C94F87" w:rsidP="003F0F60">
      <w:pPr>
        <w:pStyle w:val="ListParagraph"/>
        <w:ind w:right="274"/>
        <w:jc w:val="both"/>
        <w:rPr>
          <w:rFonts w:ascii="Arial" w:hAnsi="Arial" w:cs="Arial"/>
          <w:sz w:val="20"/>
          <w:szCs w:val="20"/>
          <w:lang w:eastAsia="en-GB"/>
        </w:rPr>
      </w:pPr>
    </w:p>
    <w:p w14:paraId="447408B9" w14:textId="0C9DF55D" w:rsidR="00A24DE7" w:rsidRPr="00635CD3" w:rsidRDefault="00A24DE7" w:rsidP="00782690">
      <w:pPr>
        <w:pStyle w:val="ListParagraph"/>
        <w:autoSpaceDE w:val="0"/>
        <w:autoSpaceDN w:val="0"/>
        <w:adjustRightInd w:val="0"/>
        <w:ind w:right="-52"/>
        <w:rPr>
          <w:lang w:eastAsia="en-GB"/>
        </w:rPr>
      </w:pPr>
    </w:p>
    <w:sectPr w:rsidR="00A24DE7" w:rsidRPr="00635CD3" w:rsidSect="008E25B9">
      <w:headerReference w:type="even" r:id="rId12"/>
      <w:headerReference w:type="default" r:id="rId13"/>
      <w:footerReference w:type="even" r:id="rId14"/>
      <w:footerReference w:type="default" r:id="rId15"/>
      <w:headerReference w:type="first" r:id="rId16"/>
      <w:footerReference w:type="first" r:id="rId17"/>
      <w:pgSz w:w="11907" w:h="16840" w:code="9"/>
      <w:pgMar w:top="993" w:right="1008" w:bottom="1440" w:left="1411" w:header="706"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1E18" w14:textId="77777777" w:rsidR="003126FE" w:rsidRDefault="003126FE">
      <w:r>
        <w:separator/>
      </w:r>
    </w:p>
  </w:endnote>
  <w:endnote w:type="continuationSeparator" w:id="0">
    <w:p w14:paraId="6C29B4EB" w14:textId="77777777" w:rsidR="003126FE" w:rsidRDefault="003126FE">
      <w:r>
        <w:continuationSeparator/>
      </w:r>
    </w:p>
  </w:endnote>
  <w:endnote w:type="continuationNotice" w:id="1">
    <w:p w14:paraId="25E92E5C" w14:textId="77777777" w:rsidR="003126FE" w:rsidRDefault="0031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AAE2" w14:textId="77777777" w:rsidR="00390D1A" w:rsidRDefault="0039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F9BF" w14:textId="77777777" w:rsidR="00231359" w:rsidRPr="002802D2" w:rsidRDefault="00C4440C" w:rsidP="002802D2">
    <w:pPr>
      <w:pStyle w:val="Foote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216" behindDoc="0" locked="0" layoutInCell="1" allowOverlap="1" wp14:anchorId="117C57F3" wp14:editId="6A46AF9C">
              <wp:simplePos x="0" y="0"/>
              <wp:positionH relativeFrom="column">
                <wp:posOffset>-5080</wp:posOffset>
              </wp:positionH>
              <wp:positionV relativeFrom="paragraph">
                <wp:posOffset>24765</wp:posOffset>
              </wp:positionV>
              <wp:extent cx="5800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5D937" id="_x0000_t32" coordsize="21600,21600" o:spt="32" o:oned="t" path="m,l21600,21600e" filled="f">
              <v:path arrowok="t" fillok="f" o:connecttype="none"/>
              <o:lock v:ext="edit" shapetype="t"/>
            </v:shapetype>
            <v:shape id="Straight Arrow Connector 1" o:spid="_x0000_s1026" type="#_x0000_t32" style="position:absolute;margin-left:-.4pt;margin-top:1.95pt;width:45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" strokecolor="#323232" strokeweight="1pt"/>
          </w:pict>
        </mc:Fallback>
      </mc:AlternateContent>
    </w:r>
  </w:p>
  <w:p w14:paraId="4B722329" w14:textId="77777777" w:rsidR="00C4440C" w:rsidRDefault="00C4440C" w:rsidP="002802D2">
    <w:pPr>
      <w:pStyle w:val="Footer"/>
      <w:tabs>
        <w:tab w:val="left" w:pos="585"/>
      </w:tabs>
      <w:rPr>
        <w:rFonts w:ascii="Arial" w:hAnsi="Arial" w:cs="Arial"/>
        <w:sz w:val="16"/>
        <w:szCs w:val="16"/>
      </w:rPr>
    </w:pPr>
    <w:bookmarkStart w:id="3" w:name="filename"/>
    <w:bookmarkEnd w:id="3"/>
  </w:p>
  <w:p w14:paraId="74BBC9BD" w14:textId="77777777" w:rsidR="00C4440C" w:rsidRPr="002802D2" w:rsidRDefault="00C4440C" w:rsidP="002802D2">
    <w:pPr>
      <w:pStyle w:val="Footer"/>
      <w:tabs>
        <w:tab w:val="left" w:pos="585"/>
      </w:tabs>
      <w:rPr>
        <w:rFonts w:ascii="Arial" w:hAnsi="Arial" w:cs="Arial"/>
        <w:sz w:val="16"/>
        <w:szCs w:val="16"/>
      </w:rPr>
    </w:pPr>
  </w:p>
  <w:p w14:paraId="63373C70" w14:textId="77777777" w:rsidR="00231359" w:rsidRPr="002802D2" w:rsidRDefault="002802D2" w:rsidP="002802D2">
    <w:pPr>
      <w:pStyle w:val="Footer"/>
      <w:tabs>
        <w:tab w:val="left" w:pos="585"/>
      </w:tabs>
      <w:rPr>
        <w:rFonts w:ascii="Arial" w:hAnsi="Arial" w:cs="Arial"/>
        <w:sz w:val="16"/>
        <w:szCs w:val="16"/>
      </w:rPr>
    </w:pPr>
    <w:r w:rsidRPr="002802D2">
      <w:rPr>
        <w:rFonts w:ascii="Arial" w:hAnsi="Arial" w:cs="Arial"/>
        <w:sz w:val="16"/>
        <w:szCs w:val="16"/>
      </w:rPr>
      <w:t>P</w:t>
    </w:r>
    <w:r w:rsidR="00231359" w:rsidRPr="002802D2">
      <w:rPr>
        <w:rFonts w:ascii="Arial" w:hAnsi="Arial" w:cs="Arial"/>
        <w:sz w:val="16"/>
        <w:szCs w:val="16"/>
      </w:rPr>
      <w:t xml:space="preserve">age </w:t>
    </w:r>
    <w:r w:rsidR="00231359" w:rsidRPr="002802D2">
      <w:rPr>
        <w:rFonts w:ascii="Arial" w:hAnsi="Arial" w:cs="Arial"/>
        <w:sz w:val="16"/>
        <w:szCs w:val="16"/>
      </w:rPr>
      <w:fldChar w:fldCharType="begin"/>
    </w:r>
    <w:r w:rsidR="00231359" w:rsidRPr="002802D2">
      <w:rPr>
        <w:rFonts w:ascii="Arial" w:hAnsi="Arial" w:cs="Arial"/>
        <w:sz w:val="16"/>
        <w:szCs w:val="16"/>
      </w:rPr>
      <w:instrText xml:space="preserve"> PAGE </w:instrText>
    </w:r>
    <w:r w:rsidR="00231359" w:rsidRPr="002802D2">
      <w:rPr>
        <w:rFonts w:ascii="Arial" w:hAnsi="Arial" w:cs="Arial"/>
        <w:sz w:val="16"/>
        <w:szCs w:val="16"/>
      </w:rPr>
      <w:fldChar w:fldCharType="separate"/>
    </w:r>
    <w:r w:rsidR="004D5EA1">
      <w:rPr>
        <w:rFonts w:ascii="Arial" w:hAnsi="Arial" w:cs="Arial"/>
        <w:noProof/>
        <w:sz w:val="16"/>
        <w:szCs w:val="16"/>
      </w:rPr>
      <w:t>1</w:t>
    </w:r>
    <w:r w:rsidR="00231359" w:rsidRPr="002802D2">
      <w:rPr>
        <w:rFonts w:ascii="Arial" w:hAnsi="Arial" w:cs="Arial"/>
        <w:sz w:val="16"/>
        <w:szCs w:val="16"/>
      </w:rPr>
      <w:fldChar w:fldCharType="end"/>
    </w:r>
    <w:r w:rsidR="00231359" w:rsidRPr="002802D2">
      <w:rPr>
        <w:rFonts w:ascii="Arial" w:hAnsi="Arial" w:cs="Arial"/>
        <w:sz w:val="16"/>
        <w:szCs w:val="16"/>
      </w:rPr>
      <w:t xml:space="preserve"> of </w:t>
    </w:r>
    <w:r w:rsidR="00231359" w:rsidRPr="002802D2">
      <w:rPr>
        <w:rFonts w:ascii="Arial" w:hAnsi="Arial" w:cs="Arial"/>
        <w:sz w:val="16"/>
        <w:szCs w:val="16"/>
      </w:rPr>
      <w:fldChar w:fldCharType="begin"/>
    </w:r>
    <w:r w:rsidR="00231359" w:rsidRPr="002802D2">
      <w:rPr>
        <w:rFonts w:ascii="Arial" w:hAnsi="Arial" w:cs="Arial"/>
        <w:sz w:val="16"/>
        <w:szCs w:val="16"/>
      </w:rPr>
      <w:instrText xml:space="preserve"> NUMPAGES </w:instrText>
    </w:r>
    <w:r w:rsidR="00231359" w:rsidRPr="002802D2">
      <w:rPr>
        <w:rFonts w:ascii="Arial" w:hAnsi="Arial" w:cs="Arial"/>
        <w:sz w:val="16"/>
        <w:szCs w:val="16"/>
      </w:rPr>
      <w:fldChar w:fldCharType="separate"/>
    </w:r>
    <w:r w:rsidR="004D5EA1">
      <w:rPr>
        <w:rFonts w:ascii="Arial" w:hAnsi="Arial" w:cs="Arial"/>
        <w:noProof/>
        <w:sz w:val="16"/>
        <w:szCs w:val="16"/>
      </w:rPr>
      <w:t>1</w:t>
    </w:r>
    <w:r w:rsidR="00231359" w:rsidRPr="002802D2">
      <w:rPr>
        <w:rFonts w:ascii="Arial" w:hAnsi="Arial" w:cs="Arial"/>
        <w:sz w:val="16"/>
        <w:szCs w:val="16"/>
      </w:rPr>
      <w:fldChar w:fldCharType="end"/>
    </w:r>
  </w:p>
  <w:p w14:paraId="59167A5D" w14:textId="77777777" w:rsidR="00260EC7" w:rsidRDefault="00260EC7" w:rsidP="002802D2">
    <w:pPr>
      <w:rPr>
        <w:rFonts w:ascii="Arial" w:hAnsi="Arial" w:cs="Arial"/>
        <w:sz w:val="16"/>
        <w:szCs w:val="16"/>
      </w:rPr>
    </w:pPr>
  </w:p>
  <w:p w14:paraId="4E612E48" w14:textId="77777777" w:rsidR="002802D2" w:rsidRPr="002802D2" w:rsidRDefault="002802D2" w:rsidP="002802D2">
    <w:pP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632B" w14:textId="77777777" w:rsidR="00390D1A" w:rsidRDefault="00390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841E" w14:textId="77777777" w:rsidR="003126FE" w:rsidRDefault="003126FE">
      <w:r>
        <w:separator/>
      </w:r>
    </w:p>
  </w:footnote>
  <w:footnote w:type="continuationSeparator" w:id="0">
    <w:p w14:paraId="46A62D14" w14:textId="77777777" w:rsidR="003126FE" w:rsidRDefault="003126FE">
      <w:r>
        <w:continuationSeparator/>
      </w:r>
    </w:p>
  </w:footnote>
  <w:footnote w:type="continuationNotice" w:id="1">
    <w:p w14:paraId="05A0FD23" w14:textId="77777777" w:rsidR="003126FE" w:rsidRDefault="00312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CE67" w14:textId="35F26E4B" w:rsidR="00390D1A" w:rsidRDefault="00390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9BD0" w14:textId="7DBAE98B" w:rsidR="002802D2" w:rsidRPr="00533CB6" w:rsidRDefault="002802D2" w:rsidP="006B24BD">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3B4D" w14:textId="65E8FB02" w:rsidR="00390D1A" w:rsidRDefault="00390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FDAA2F"/>
    <w:multiLevelType w:val="hybridMultilevel"/>
    <w:tmpl w:val="25100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5407"/>
    <w:multiLevelType w:val="multilevel"/>
    <w:tmpl w:val="8C30AB8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D75CBF"/>
    <w:multiLevelType w:val="hybridMultilevel"/>
    <w:tmpl w:val="487638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45818"/>
    <w:multiLevelType w:val="multilevel"/>
    <w:tmpl w:val="BACC9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18294C"/>
    <w:multiLevelType w:val="multilevel"/>
    <w:tmpl w:val="7A66FB6A"/>
    <w:lvl w:ilvl="0">
      <w:start w:val="1"/>
      <w:numFmt w:val="decimal"/>
      <w:lvlText w:val="%1"/>
      <w:lvlJc w:val="left"/>
      <w:pPr>
        <w:ind w:left="405" w:hanging="405"/>
      </w:pPr>
      <w:rPr>
        <w:rFonts w:ascii="Arial Bold" w:eastAsia="Times New Roman" w:hAnsi="Arial Bold" w:cs="Arial" w:hint="default"/>
        <w:sz w:val="24"/>
      </w:rPr>
    </w:lvl>
    <w:lvl w:ilvl="1">
      <w:start w:val="1"/>
      <w:numFmt w:val="decimal"/>
      <w:lvlText w:val="%1.%2"/>
      <w:lvlJc w:val="left"/>
      <w:pPr>
        <w:ind w:left="405" w:hanging="405"/>
      </w:pPr>
      <w:rPr>
        <w:rFonts w:ascii="Arial Bold" w:eastAsia="Times New Roman" w:hAnsi="Arial Bold" w:cs="Arial" w:hint="default"/>
        <w:sz w:val="24"/>
      </w:rPr>
    </w:lvl>
    <w:lvl w:ilvl="2">
      <w:start w:val="1"/>
      <w:numFmt w:val="decimal"/>
      <w:lvlText w:val="%1.%2.%3"/>
      <w:lvlJc w:val="left"/>
      <w:pPr>
        <w:ind w:left="720" w:hanging="720"/>
      </w:pPr>
      <w:rPr>
        <w:rFonts w:ascii="Arial Bold" w:eastAsia="Times New Roman" w:hAnsi="Arial Bold" w:cs="Arial" w:hint="default"/>
        <w:sz w:val="24"/>
      </w:rPr>
    </w:lvl>
    <w:lvl w:ilvl="3">
      <w:start w:val="1"/>
      <w:numFmt w:val="decimal"/>
      <w:lvlText w:val="%1.%2.%3.%4"/>
      <w:lvlJc w:val="left"/>
      <w:pPr>
        <w:ind w:left="720" w:hanging="720"/>
      </w:pPr>
      <w:rPr>
        <w:rFonts w:ascii="Arial Bold" w:eastAsia="Times New Roman" w:hAnsi="Arial Bold" w:cs="Arial" w:hint="default"/>
        <w:sz w:val="24"/>
      </w:rPr>
    </w:lvl>
    <w:lvl w:ilvl="4">
      <w:start w:val="1"/>
      <w:numFmt w:val="decimal"/>
      <w:lvlText w:val="%1.%2.%3.%4.%5"/>
      <w:lvlJc w:val="left"/>
      <w:pPr>
        <w:ind w:left="720" w:hanging="720"/>
      </w:pPr>
      <w:rPr>
        <w:rFonts w:ascii="Arial Bold" w:eastAsia="Times New Roman" w:hAnsi="Arial Bold" w:cs="Arial" w:hint="default"/>
        <w:sz w:val="24"/>
      </w:rPr>
    </w:lvl>
    <w:lvl w:ilvl="5">
      <w:start w:val="1"/>
      <w:numFmt w:val="decimal"/>
      <w:lvlText w:val="%1.%2.%3.%4.%5.%6"/>
      <w:lvlJc w:val="left"/>
      <w:pPr>
        <w:ind w:left="1080" w:hanging="1080"/>
      </w:pPr>
      <w:rPr>
        <w:rFonts w:ascii="Arial Bold" w:eastAsia="Times New Roman" w:hAnsi="Arial Bold" w:cs="Arial" w:hint="default"/>
        <w:sz w:val="24"/>
      </w:rPr>
    </w:lvl>
    <w:lvl w:ilvl="6">
      <w:start w:val="1"/>
      <w:numFmt w:val="decimal"/>
      <w:lvlText w:val="%1.%2.%3.%4.%5.%6.%7"/>
      <w:lvlJc w:val="left"/>
      <w:pPr>
        <w:ind w:left="1080" w:hanging="1080"/>
      </w:pPr>
      <w:rPr>
        <w:rFonts w:ascii="Arial Bold" w:eastAsia="Times New Roman" w:hAnsi="Arial Bold" w:cs="Arial" w:hint="default"/>
        <w:sz w:val="24"/>
      </w:rPr>
    </w:lvl>
    <w:lvl w:ilvl="7">
      <w:start w:val="1"/>
      <w:numFmt w:val="decimal"/>
      <w:lvlText w:val="%1.%2.%3.%4.%5.%6.%7.%8"/>
      <w:lvlJc w:val="left"/>
      <w:pPr>
        <w:ind w:left="1440" w:hanging="1440"/>
      </w:pPr>
      <w:rPr>
        <w:rFonts w:ascii="Arial Bold" w:eastAsia="Times New Roman" w:hAnsi="Arial Bold" w:cs="Arial" w:hint="default"/>
        <w:sz w:val="24"/>
      </w:rPr>
    </w:lvl>
    <w:lvl w:ilvl="8">
      <w:start w:val="1"/>
      <w:numFmt w:val="decimal"/>
      <w:lvlText w:val="%1.%2.%3.%4.%5.%6.%7.%8.%9"/>
      <w:lvlJc w:val="left"/>
      <w:pPr>
        <w:ind w:left="1440" w:hanging="1440"/>
      </w:pPr>
      <w:rPr>
        <w:rFonts w:ascii="Arial Bold" w:eastAsia="Times New Roman" w:hAnsi="Arial Bold" w:cs="Arial" w:hint="default"/>
        <w:sz w:val="24"/>
      </w:rPr>
    </w:lvl>
  </w:abstractNum>
  <w:abstractNum w:abstractNumId="5" w15:restartNumberingAfterBreak="0">
    <w:nsid w:val="11952C7D"/>
    <w:multiLevelType w:val="multilevel"/>
    <w:tmpl w:val="2CC02FC6"/>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462D73"/>
    <w:multiLevelType w:val="hybridMultilevel"/>
    <w:tmpl w:val="9D44D03C"/>
    <w:lvl w:ilvl="0" w:tplc="A2E817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AE3A80"/>
    <w:multiLevelType w:val="multilevel"/>
    <w:tmpl w:val="293C6698"/>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18"/>
        <w:szCs w:val="18"/>
      </w:rPr>
    </w:lvl>
    <w:lvl w:ilvl="2">
      <w:start w:val="1"/>
      <w:numFmt w:val="lowerLetter"/>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1F2683"/>
    <w:multiLevelType w:val="hybridMultilevel"/>
    <w:tmpl w:val="34868A8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5E701CB"/>
    <w:multiLevelType w:val="hybridMultilevel"/>
    <w:tmpl w:val="DAE06E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44806"/>
    <w:multiLevelType w:val="hybridMultilevel"/>
    <w:tmpl w:val="C9729A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90A5483"/>
    <w:multiLevelType w:val="hybridMultilevel"/>
    <w:tmpl w:val="952AE1DC"/>
    <w:lvl w:ilvl="0" w:tplc="74E267E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BA4AC9"/>
    <w:multiLevelType w:val="hybridMultilevel"/>
    <w:tmpl w:val="A9769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0438"/>
    <w:multiLevelType w:val="hybridMultilevel"/>
    <w:tmpl w:val="2014DF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A90140E"/>
    <w:multiLevelType w:val="multilevel"/>
    <w:tmpl w:val="3702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E09F5"/>
    <w:multiLevelType w:val="hybridMultilevel"/>
    <w:tmpl w:val="6EB8FCF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F4057E9"/>
    <w:multiLevelType w:val="hybridMultilevel"/>
    <w:tmpl w:val="50C898A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3158F3"/>
    <w:multiLevelType w:val="multilevel"/>
    <w:tmpl w:val="474EFEA0"/>
    <w:lvl w:ilvl="0">
      <w:start w:val="1"/>
      <w:numFmt w:val="decimal"/>
      <w:lvlText w:val="%1."/>
      <w:lvlJc w:val="left"/>
      <w:pPr>
        <w:ind w:left="720" w:hanging="360"/>
      </w:pPr>
      <w:rPr>
        <w:rFonts w:ascii="Arial Bold" w:eastAsia="Times New Roman" w:hAnsi="Arial Bold" w:cs="Arial" w:hint="default"/>
        <w:sz w:val="24"/>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Roman"/>
      <w:lvlText w:val="%6."/>
      <w:lvlJc w:val="righ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8265DC"/>
    <w:multiLevelType w:val="multilevel"/>
    <w:tmpl w:val="D954FA8A"/>
    <w:lvl w:ilvl="0">
      <w:start w:val="1"/>
      <w:numFmt w:val="decimal"/>
      <w:lvlText w:val="%1"/>
      <w:lvlJc w:val="left"/>
      <w:pPr>
        <w:tabs>
          <w:tab w:val="num" w:pos="1134"/>
        </w:tabs>
        <w:ind w:left="720" w:hanging="720"/>
      </w:pPr>
      <w:rPr>
        <w:rFonts w:ascii="Arial Bold" w:hAnsi="Arial Bold" w:hint="default"/>
        <w:b/>
        <w:i w:val="0"/>
      </w:rPr>
    </w:lvl>
    <w:lvl w:ilvl="1">
      <w:start w:val="1"/>
      <w:numFmt w:val="decimal"/>
      <w:lvlText w:val="%1.%2"/>
      <w:lvlJc w:val="left"/>
      <w:pPr>
        <w:tabs>
          <w:tab w:val="num" w:pos="1134"/>
        </w:tabs>
        <w:ind w:left="720" w:hanging="720"/>
      </w:pPr>
      <w:rPr>
        <w:rFonts w:hint="default"/>
        <w:b w:val="0"/>
        <w:bCs/>
        <w:color w:val="1BA3B1"/>
        <w:sz w:val="22"/>
        <w:szCs w:val="22"/>
      </w:rPr>
    </w:lvl>
    <w:lvl w:ilvl="2">
      <w:start w:val="1"/>
      <w:numFmt w:val="decimal"/>
      <w:lvlText w:val="%1.%2.%3"/>
      <w:lvlJc w:val="left"/>
      <w:pPr>
        <w:tabs>
          <w:tab w:val="num" w:pos="1134"/>
        </w:tabs>
        <w:ind w:left="720" w:hanging="720"/>
      </w:pPr>
      <w:rPr>
        <w:rFonts w:hint="default"/>
        <w:b w:val="0"/>
        <w:bCs/>
        <w:sz w:val="20"/>
      </w:rPr>
    </w:lvl>
    <w:lvl w:ilvl="3">
      <w:start w:val="1"/>
      <w:numFmt w:val="lowerLetter"/>
      <w:lvlText w:val="%4."/>
      <w:lvlJc w:val="left"/>
      <w:pPr>
        <w:tabs>
          <w:tab w:val="num" w:pos="1134"/>
        </w:tabs>
        <w:ind w:left="720" w:hanging="720"/>
      </w:pPr>
      <w:rPr>
        <w:rFonts w:ascii="Arial" w:hAnsi="Arial" w:hint="default"/>
        <w:b/>
        <w:bCs w:val="0"/>
        <w:color w:val="00334C"/>
        <w:sz w:val="20"/>
      </w:rPr>
    </w:lvl>
    <w:lvl w:ilvl="4">
      <w:start w:val="1"/>
      <w:numFmt w:val="lowerRoman"/>
      <w:lvlText w:val="%5"/>
      <w:lvlJc w:val="left"/>
      <w:pPr>
        <w:tabs>
          <w:tab w:val="num" w:pos="1134"/>
        </w:tabs>
        <w:ind w:left="720" w:hanging="720"/>
      </w:pPr>
      <w:rPr>
        <w:rFonts w:hint="default"/>
        <w:color w:val="00334C"/>
      </w:rPr>
    </w:lvl>
    <w:lvl w:ilvl="5">
      <w:start w:val="1"/>
      <w:numFmt w:val="lowerRoman"/>
      <w:lvlText w:val="%6."/>
      <w:lvlJc w:val="right"/>
      <w:pPr>
        <w:tabs>
          <w:tab w:val="num" w:pos="1134"/>
        </w:tabs>
        <w:ind w:left="720" w:hanging="720"/>
      </w:pPr>
      <w:rPr>
        <w:rFonts w:hint="default"/>
      </w:rPr>
    </w:lvl>
    <w:lvl w:ilvl="6">
      <w:start w:val="1"/>
      <w:numFmt w:val="decimal"/>
      <w:lvlText w:val="%7."/>
      <w:lvlJc w:val="left"/>
      <w:pPr>
        <w:tabs>
          <w:tab w:val="num" w:pos="1134"/>
        </w:tabs>
        <w:ind w:left="720" w:hanging="720"/>
      </w:pPr>
      <w:rPr>
        <w:rFonts w:hint="default"/>
      </w:rPr>
    </w:lvl>
    <w:lvl w:ilvl="7">
      <w:start w:val="1"/>
      <w:numFmt w:val="lowerLetter"/>
      <w:lvlText w:val="%8."/>
      <w:lvlJc w:val="left"/>
      <w:pPr>
        <w:tabs>
          <w:tab w:val="num" w:pos="1134"/>
        </w:tabs>
        <w:ind w:left="720" w:hanging="720"/>
      </w:pPr>
      <w:rPr>
        <w:rFonts w:hint="default"/>
      </w:rPr>
    </w:lvl>
    <w:lvl w:ilvl="8">
      <w:start w:val="1"/>
      <w:numFmt w:val="lowerRoman"/>
      <w:lvlText w:val="%9."/>
      <w:lvlJc w:val="right"/>
      <w:pPr>
        <w:tabs>
          <w:tab w:val="num" w:pos="1134"/>
        </w:tabs>
        <w:ind w:left="720" w:hanging="720"/>
      </w:pPr>
      <w:rPr>
        <w:rFonts w:hint="default"/>
      </w:rPr>
    </w:lvl>
  </w:abstractNum>
  <w:abstractNum w:abstractNumId="19" w15:restartNumberingAfterBreak="0">
    <w:nsid w:val="428061DD"/>
    <w:multiLevelType w:val="hybridMultilevel"/>
    <w:tmpl w:val="2C16A194"/>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4B27112"/>
    <w:multiLevelType w:val="hybridMultilevel"/>
    <w:tmpl w:val="4288C0A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586B42AD"/>
    <w:multiLevelType w:val="hybridMultilevel"/>
    <w:tmpl w:val="F40E6598"/>
    <w:lvl w:ilvl="0" w:tplc="E0DA8D16">
      <w:start w:val="1"/>
      <w:numFmt w:val="decimal"/>
      <w:pStyle w:val="ChromaParagraph"/>
      <w:lvlText w:val="%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5762D9"/>
    <w:multiLevelType w:val="multilevel"/>
    <w:tmpl w:val="683067DE"/>
    <w:lvl w:ilvl="0">
      <w:start w:val="1"/>
      <w:numFmt w:val="decimal"/>
      <w:pStyle w:val="Chromasubheadingnumbered"/>
      <w:lvlText w:val="%1."/>
      <w:lvlJc w:val="left"/>
      <w:pPr>
        <w:ind w:left="720" w:hanging="360"/>
      </w:pPr>
      <w:rPr>
        <w:rFonts w:ascii="Arial Bold" w:eastAsia="Times New Roman" w:hAnsi="Arial Bold" w:cs="Arial" w:hint="default"/>
        <w:sz w:val="24"/>
      </w:rPr>
    </w:lvl>
    <w:lvl w:ilvl="1">
      <w:start w:val="1"/>
      <w:numFmt w:val="decimal"/>
      <w:isLgl/>
      <w:lvlText w:val="%1.%2"/>
      <w:lvlJc w:val="left"/>
      <w:pPr>
        <w:ind w:left="720" w:hanging="360"/>
      </w:pPr>
      <w:rPr>
        <w:rFonts w:ascii="Arial" w:hAnsi="Arial" w:cs="Arial"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FA546F"/>
    <w:multiLevelType w:val="hybridMultilevel"/>
    <w:tmpl w:val="D7A67FD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62C43C30"/>
    <w:multiLevelType w:val="hybridMultilevel"/>
    <w:tmpl w:val="6D003B7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8B53CE5"/>
    <w:multiLevelType w:val="hybridMultilevel"/>
    <w:tmpl w:val="97CCEC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603DC4"/>
    <w:multiLevelType w:val="hybridMultilevel"/>
    <w:tmpl w:val="4A2A9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42B15"/>
    <w:multiLevelType w:val="hybridMultilevel"/>
    <w:tmpl w:val="EEE0ACD6"/>
    <w:lvl w:ilvl="0" w:tplc="A2E817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40AC6"/>
    <w:multiLevelType w:val="multilevel"/>
    <w:tmpl w:val="016C037C"/>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18"/>
        <w:szCs w:val="18"/>
      </w:rPr>
    </w:lvl>
    <w:lvl w:ilvl="2">
      <w:start w:val="1"/>
      <w:numFmt w:val="lowerLetter"/>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ED2FD2"/>
    <w:multiLevelType w:val="hybridMultilevel"/>
    <w:tmpl w:val="8520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531257">
    <w:abstractNumId w:val="6"/>
  </w:num>
  <w:num w:numId="2" w16cid:durableId="2139907996">
    <w:abstractNumId w:val="27"/>
  </w:num>
  <w:num w:numId="3" w16cid:durableId="2005157876">
    <w:abstractNumId w:val="12"/>
  </w:num>
  <w:num w:numId="4" w16cid:durableId="727143677">
    <w:abstractNumId w:val="4"/>
  </w:num>
  <w:num w:numId="5" w16cid:durableId="1028335273">
    <w:abstractNumId w:val="21"/>
  </w:num>
  <w:num w:numId="6" w16cid:durableId="1877086261">
    <w:abstractNumId w:val="21"/>
  </w:num>
  <w:num w:numId="7" w16cid:durableId="2079131668">
    <w:abstractNumId w:val="3"/>
  </w:num>
  <w:num w:numId="8" w16cid:durableId="1666516579">
    <w:abstractNumId w:val="2"/>
  </w:num>
  <w:num w:numId="9" w16cid:durableId="221798292">
    <w:abstractNumId w:val="4"/>
  </w:num>
  <w:num w:numId="10" w16cid:durableId="1808668873">
    <w:abstractNumId w:val="1"/>
  </w:num>
  <w:num w:numId="11" w16cid:durableId="2092117770">
    <w:abstractNumId w:val="5"/>
  </w:num>
  <w:num w:numId="12" w16cid:durableId="1466967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848049">
    <w:abstractNumId w:val="14"/>
  </w:num>
  <w:num w:numId="14" w16cid:durableId="388845603">
    <w:abstractNumId w:val="22"/>
  </w:num>
  <w:num w:numId="15" w16cid:durableId="502864940">
    <w:abstractNumId w:val="28"/>
  </w:num>
  <w:num w:numId="16" w16cid:durableId="600840796">
    <w:abstractNumId w:val="17"/>
  </w:num>
  <w:num w:numId="17" w16cid:durableId="403719931">
    <w:abstractNumId w:val="18"/>
  </w:num>
  <w:num w:numId="18" w16cid:durableId="1377121899">
    <w:abstractNumId w:val="16"/>
  </w:num>
  <w:num w:numId="19" w16cid:durableId="1969432571">
    <w:abstractNumId w:val="11"/>
  </w:num>
  <w:num w:numId="20" w16cid:durableId="1263491156">
    <w:abstractNumId w:val="26"/>
  </w:num>
  <w:num w:numId="21" w16cid:durableId="1246768148">
    <w:abstractNumId w:val="7"/>
  </w:num>
  <w:num w:numId="22" w16cid:durableId="874270678">
    <w:abstractNumId w:val="0"/>
  </w:num>
  <w:num w:numId="23" w16cid:durableId="307054757">
    <w:abstractNumId w:val="15"/>
  </w:num>
  <w:num w:numId="24" w16cid:durableId="1110584855">
    <w:abstractNumId w:val="24"/>
  </w:num>
  <w:num w:numId="25" w16cid:durableId="26761215">
    <w:abstractNumId w:val="20"/>
  </w:num>
  <w:num w:numId="26" w16cid:durableId="129707895">
    <w:abstractNumId w:val="9"/>
  </w:num>
  <w:num w:numId="27" w16cid:durableId="23795622">
    <w:abstractNumId w:val="29"/>
  </w:num>
  <w:num w:numId="28" w16cid:durableId="2135250499">
    <w:abstractNumId w:val="10"/>
  </w:num>
  <w:num w:numId="29" w16cid:durableId="1747529097">
    <w:abstractNumId w:val="8"/>
  </w:num>
  <w:num w:numId="30" w16cid:durableId="1777283393">
    <w:abstractNumId w:val="19"/>
  </w:num>
  <w:num w:numId="31" w16cid:durableId="510878001">
    <w:abstractNumId w:val="25"/>
  </w:num>
  <w:num w:numId="32" w16cid:durableId="2136408906">
    <w:abstractNumId w:val="23"/>
  </w:num>
  <w:num w:numId="33" w16cid:durableId="1337225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E0"/>
    <w:rsid w:val="00000C22"/>
    <w:rsid w:val="00000F8A"/>
    <w:rsid w:val="0000199D"/>
    <w:rsid w:val="00001B55"/>
    <w:rsid w:val="00006C94"/>
    <w:rsid w:val="00006DED"/>
    <w:rsid w:val="00006E29"/>
    <w:rsid w:val="000106DF"/>
    <w:rsid w:val="000110C4"/>
    <w:rsid w:val="00016D81"/>
    <w:rsid w:val="00017625"/>
    <w:rsid w:val="00022686"/>
    <w:rsid w:val="00022FD5"/>
    <w:rsid w:val="00027D44"/>
    <w:rsid w:val="00030456"/>
    <w:rsid w:val="00033C4A"/>
    <w:rsid w:val="00034B46"/>
    <w:rsid w:val="00035FC4"/>
    <w:rsid w:val="000369C4"/>
    <w:rsid w:val="00040359"/>
    <w:rsid w:val="0004065F"/>
    <w:rsid w:val="000420C8"/>
    <w:rsid w:val="00042733"/>
    <w:rsid w:val="00045642"/>
    <w:rsid w:val="000471CA"/>
    <w:rsid w:val="0005383C"/>
    <w:rsid w:val="00054106"/>
    <w:rsid w:val="00054334"/>
    <w:rsid w:val="0005605D"/>
    <w:rsid w:val="0005655C"/>
    <w:rsid w:val="000608D8"/>
    <w:rsid w:val="00060E35"/>
    <w:rsid w:val="000612DB"/>
    <w:rsid w:val="00061A42"/>
    <w:rsid w:val="00066C92"/>
    <w:rsid w:val="000677DF"/>
    <w:rsid w:val="000720FA"/>
    <w:rsid w:val="00072857"/>
    <w:rsid w:val="00072AC9"/>
    <w:rsid w:val="0007357F"/>
    <w:rsid w:val="00073C1A"/>
    <w:rsid w:val="00073F69"/>
    <w:rsid w:val="00077C2B"/>
    <w:rsid w:val="00080074"/>
    <w:rsid w:val="000840DE"/>
    <w:rsid w:val="000852F2"/>
    <w:rsid w:val="000870ED"/>
    <w:rsid w:val="00087DFD"/>
    <w:rsid w:val="00090B9D"/>
    <w:rsid w:val="000927A6"/>
    <w:rsid w:val="00093434"/>
    <w:rsid w:val="0009570A"/>
    <w:rsid w:val="000A2549"/>
    <w:rsid w:val="000A3E09"/>
    <w:rsid w:val="000A4672"/>
    <w:rsid w:val="000A4C73"/>
    <w:rsid w:val="000A6BC8"/>
    <w:rsid w:val="000A7439"/>
    <w:rsid w:val="000A7550"/>
    <w:rsid w:val="000B12C6"/>
    <w:rsid w:val="000B3482"/>
    <w:rsid w:val="000B43BC"/>
    <w:rsid w:val="000B458E"/>
    <w:rsid w:val="000B4E39"/>
    <w:rsid w:val="000B66E5"/>
    <w:rsid w:val="000C037B"/>
    <w:rsid w:val="000C26DF"/>
    <w:rsid w:val="000C6357"/>
    <w:rsid w:val="000D14B7"/>
    <w:rsid w:val="000D1E66"/>
    <w:rsid w:val="000D57DA"/>
    <w:rsid w:val="000E06D2"/>
    <w:rsid w:val="000E1AFA"/>
    <w:rsid w:val="000E2121"/>
    <w:rsid w:val="000E271D"/>
    <w:rsid w:val="000E31D2"/>
    <w:rsid w:val="000E6DDD"/>
    <w:rsid w:val="000E713D"/>
    <w:rsid w:val="000F0C75"/>
    <w:rsid w:val="000F1222"/>
    <w:rsid w:val="000F1E15"/>
    <w:rsid w:val="000F1E82"/>
    <w:rsid w:val="000F3F1A"/>
    <w:rsid w:val="000F6459"/>
    <w:rsid w:val="000F6D75"/>
    <w:rsid w:val="000F797D"/>
    <w:rsid w:val="0010016D"/>
    <w:rsid w:val="00101D91"/>
    <w:rsid w:val="001032D8"/>
    <w:rsid w:val="00106D3F"/>
    <w:rsid w:val="00107CAB"/>
    <w:rsid w:val="001102CD"/>
    <w:rsid w:val="001144AC"/>
    <w:rsid w:val="00114BF9"/>
    <w:rsid w:val="00114DE6"/>
    <w:rsid w:val="0011695F"/>
    <w:rsid w:val="00116E0C"/>
    <w:rsid w:val="00117105"/>
    <w:rsid w:val="001179C7"/>
    <w:rsid w:val="00117F51"/>
    <w:rsid w:val="00121780"/>
    <w:rsid w:val="00121DE0"/>
    <w:rsid w:val="00127F58"/>
    <w:rsid w:val="00132C26"/>
    <w:rsid w:val="001342E6"/>
    <w:rsid w:val="0014062E"/>
    <w:rsid w:val="001420DA"/>
    <w:rsid w:val="001422EF"/>
    <w:rsid w:val="00142CFE"/>
    <w:rsid w:val="001454ED"/>
    <w:rsid w:val="001502A0"/>
    <w:rsid w:val="00150A1A"/>
    <w:rsid w:val="0015242C"/>
    <w:rsid w:val="00153CF0"/>
    <w:rsid w:val="001546B8"/>
    <w:rsid w:val="0015586A"/>
    <w:rsid w:val="0015601B"/>
    <w:rsid w:val="001604C5"/>
    <w:rsid w:val="001623C4"/>
    <w:rsid w:val="00163C4A"/>
    <w:rsid w:val="00164440"/>
    <w:rsid w:val="001644E9"/>
    <w:rsid w:val="00166ACE"/>
    <w:rsid w:val="00167E24"/>
    <w:rsid w:val="00167EA4"/>
    <w:rsid w:val="001707B6"/>
    <w:rsid w:val="001718A4"/>
    <w:rsid w:val="00172663"/>
    <w:rsid w:val="001736E1"/>
    <w:rsid w:val="00173BAE"/>
    <w:rsid w:val="00173D7E"/>
    <w:rsid w:val="00176801"/>
    <w:rsid w:val="00176AD8"/>
    <w:rsid w:val="001772CF"/>
    <w:rsid w:val="001779B9"/>
    <w:rsid w:val="00180C83"/>
    <w:rsid w:val="00182846"/>
    <w:rsid w:val="00182A05"/>
    <w:rsid w:val="0018648A"/>
    <w:rsid w:val="00191C24"/>
    <w:rsid w:val="00194115"/>
    <w:rsid w:val="00194E12"/>
    <w:rsid w:val="0019758A"/>
    <w:rsid w:val="001A3EC4"/>
    <w:rsid w:val="001A45FC"/>
    <w:rsid w:val="001A5C27"/>
    <w:rsid w:val="001A6233"/>
    <w:rsid w:val="001A6A90"/>
    <w:rsid w:val="001B1800"/>
    <w:rsid w:val="001B2B74"/>
    <w:rsid w:val="001B42CD"/>
    <w:rsid w:val="001C0553"/>
    <w:rsid w:val="001C1161"/>
    <w:rsid w:val="001C1A72"/>
    <w:rsid w:val="001C2035"/>
    <w:rsid w:val="001C38BD"/>
    <w:rsid w:val="001C3AFC"/>
    <w:rsid w:val="001C5582"/>
    <w:rsid w:val="001C7E30"/>
    <w:rsid w:val="001D324C"/>
    <w:rsid w:val="001D553F"/>
    <w:rsid w:val="001D74A8"/>
    <w:rsid w:val="001E0419"/>
    <w:rsid w:val="001E3CD2"/>
    <w:rsid w:val="001E4F46"/>
    <w:rsid w:val="001E58B7"/>
    <w:rsid w:val="001F16F7"/>
    <w:rsid w:val="001F1BED"/>
    <w:rsid w:val="001F2E78"/>
    <w:rsid w:val="001F45E8"/>
    <w:rsid w:val="001F776A"/>
    <w:rsid w:val="00200F5E"/>
    <w:rsid w:val="00201813"/>
    <w:rsid w:val="002034E8"/>
    <w:rsid w:val="0020681B"/>
    <w:rsid w:val="00210A5E"/>
    <w:rsid w:val="00210B1F"/>
    <w:rsid w:val="00212EE5"/>
    <w:rsid w:val="00215174"/>
    <w:rsid w:val="00215849"/>
    <w:rsid w:val="00217729"/>
    <w:rsid w:val="00223027"/>
    <w:rsid w:val="00224413"/>
    <w:rsid w:val="00227103"/>
    <w:rsid w:val="00230170"/>
    <w:rsid w:val="00230706"/>
    <w:rsid w:val="00231359"/>
    <w:rsid w:val="00232120"/>
    <w:rsid w:val="00233068"/>
    <w:rsid w:val="00233939"/>
    <w:rsid w:val="00236B22"/>
    <w:rsid w:val="0023752E"/>
    <w:rsid w:val="002438EC"/>
    <w:rsid w:val="00243BD8"/>
    <w:rsid w:val="00243FE9"/>
    <w:rsid w:val="00244D93"/>
    <w:rsid w:val="00246687"/>
    <w:rsid w:val="00246ED0"/>
    <w:rsid w:val="0025058B"/>
    <w:rsid w:val="00252EC1"/>
    <w:rsid w:val="00253596"/>
    <w:rsid w:val="00254681"/>
    <w:rsid w:val="002557A3"/>
    <w:rsid w:val="00257A38"/>
    <w:rsid w:val="00260EC7"/>
    <w:rsid w:val="00261795"/>
    <w:rsid w:val="00261950"/>
    <w:rsid w:val="00262866"/>
    <w:rsid w:val="00263157"/>
    <w:rsid w:val="002638E4"/>
    <w:rsid w:val="002648D3"/>
    <w:rsid w:val="002712F4"/>
    <w:rsid w:val="0027232D"/>
    <w:rsid w:val="00274954"/>
    <w:rsid w:val="0027537F"/>
    <w:rsid w:val="002758CD"/>
    <w:rsid w:val="002759E6"/>
    <w:rsid w:val="002802D2"/>
    <w:rsid w:val="00283490"/>
    <w:rsid w:val="002850A1"/>
    <w:rsid w:val="002862DD"/>
    <w:rsid w:val="002874A0"/>
    <w:rsid w:val="002876A1"/>
    <w:rsid w:val="00292160"/>
    <w:rsid w:val="002922A1"/>
    <w:rsid w:val="00294018"/>
    <w:rsid w:val="002957D7"/>
    <w:rsid w:val="002968F2"/>
    <w:rsid w:val="00297424"/>
    <w:rsid w:val="002A3592"/>
    <w:rsid w:val="002A56ED"/>
    <w:rsid w:val="002A7700"/>
    <w:rsid w:val="002B2737"/>
    <w:rsid w:val="002B3029"/>
    <w:rsid w:val="002B3A89"/>
    <w:rsid w:val="002B3BE3"/>
    <w:rsid w:val="002B4C84"/>
    <w:rsid w:val="002B6640"/>
    <w:rsid w:val="002B7CE6"/>
    <w:rsid w:val="002C0717"/>
    <w:rsid w:val="002C0F3C"/>
    <w:rsid w:val="002C37B5"/>
    <w:rsid w:val="002C5B89"/>
    <w:rsid w:val="002C63DC"/>
    <w:rsid w:val="002D027F"/>
    <w:rsid w:val="002D7CDA"/>
    <w:rsid w:val="002E0B9F"/>
    <w:rsid w:val="002E185A"/>
    <w:rsid w:val="002E3BB9"/>
    <w:rsid w:val="002E551F"/>
    <w:rsid w:val="002E7173"/>
    <w:rsid w:val="002F0897"/>
    <w:rsid w:val="002F244D"/>
    <w:rsid w:val="002F29A1"/>
    <w:rsid w:val="002F4EDD"/>
    <w:rsid w:val="002F7584"/>
    <w:rsid w:val="00300A90"/>
    <w:rsid w:val="00302406"/>
    <w:rsid w:val="003035E5"/>
    <w:rsid w:val="0030698F"/>
    <w:rsid w:val="00306D85"/>
    <w:rsid w:val="00307763"/>
    <w:rsid w:val="003126FE"/>
    <w:rsid w:val="003137BB"/>
    <w:rsid w:val="003138F4"/>
    <w:rsid w:val="00314354"/>
    <w:rsid w:val="003151E2"/>
    <w:rsid w:val="0031562F"/>
    <w:rsid w:val="003159DF"/>
    <w:rsid w:val="0031729E"/>
    <w:rsid w:val="003176C0"/>
    <w:rsid w:val="00317F12"/>
    <w:rsid w:val="003229BB"/>
    <w:rsid w:val="00322E10"/>
    <w:rsid w:val="003230A1"/>
    <w:rsid w:val="003239C5"/>
    <w:rsid w:val="00326420"/>
    <w:rsid w:val="00326EDD"/>
    <w:rsid w:val="003349EB"/>
    <w:rsid w:val="00335263"/>
    <w:rsid w:val="00335CA8"/>
    <w:rsid w:val="003363F3"/>
    <w:rsid w:val="0033650D"/>
    <w:rsid w:val="00337371"/>
    <w:rsid w:val="003407F1"/>
    <w:rsid w:val="00341D5A"/>
    <w:rsid w:val="003424C8"/>
    <w:rsid w:val="003448EA"/>
    <w:rsid w:val="00344AC3"/>
    <w:rsid w:val="00344ECA"/>
    <w:rsid w:val="00345C4E"/>
    <w:rsid w:val="00346E25"/>
    <w:rsid w:val="00350043"/>
    <w:rsid w:val="003502BD"/>
    <w:rsid w:val="00350865"/>
    <w:rsid w:val="00352465"/>
    <w:rsid w:val="0035252C"/>
    <w:rsid w:val="00353750"/>
    <w:rsid w:val="003543E1"/>
    <w:rsid w:val="00354D45"/>
    <w:rsid w:val="00355209"/>
    <w:rsid w:val="00356F50"/>
    <w:rsid w:val="00357306"/>
    <w:rsid w:val="00360A42"/>
    <w:rsid w:val="00361714"/>
    <w:rsid w:val="00361E1D"/>
    <w:rsid w:val="00365E6D"/>
    <w:rsid w:val="003660B7"/>
    <w:rsid w:val="00366773"/>
    <w:rsid w:val="00366DC5"/>
    <w:rsid w:val="00366DD9"/>
    <w:rsid w:val="00367EFE"/>
    <w:rsid w:val="003701A0"/>
    <w:rsid w:val="00374E73"/>
    <w:rsid w:val="0037527A"/>
    <w:rsid w:val="00376E2A"/>
    <w:rsid w:val="0038006D"/>
    <w:rsid w:val="00381588"/>
    <w:rsid w:val="00382053"/>
    <w:rsid w:val="00383690"/>
    <w:rsid w:val="0038686C"/>
    <w:rsid w:val="003905D0"/>
    <w:rsid w:val="00390D1A"/>
    <w:rsid w:val="00393A8F"/>
    <w:rsid w:val="003A151F"/>
    <w:rsid w:val="003A1C36"/>
    <w:rsid w:val="003A4512"/>
    <w:rsid w:val="003A58A8"/>
    <w:rsid w:val="003A6AD1"/>
    <w:rsid w:val="003B0593"/>
    <w:rsid w:val="003B09CD"/>
    <w:rsid w:val="003B2459"/>
    <w:rsid w:val="003B2D02"/>
    <w:rsid w:val="003B6091"/>
    <w:rsid w:val="003C0513"/>
    <w:rsid w:val="003C0E57"/>
    <w:rsid w:val="003C1620"/>
    <w:rsid w:val="003C246B"/>
    <w:rsid w:val="003C2C85"/>
    <w:rsid w:val="003C6D3A"/>
    <w:rsid w:val="003D4FD2"/>
    <w:rsid w:val="003D69EA"/>
    <w:rsid w:val="003D71D9"/>
    <w:rsid w:val="003E208B"/>
    <w:rsid w:val="003E2F46"/>
    <w:rsid w:val="003E4870"/>
    <w:rsid w:val="003E4A6C"/>
    <w:rsid w:val="003E4AF9"/>
    <w:rsid w:val="003E57FA"/>
    <w:rsid w:val="003E6981"/>
    <w:rsid w:val="003F0F60"/>
    <w:rsid w:val="003F26A9"/>
    <w:rsid w:val="003F2FA5"/>
    <w:rsid w:val="003F317C"/>
    <w:rsid w:val="003F509D"/>
    <w:rsid w:val="003F5790"/>
    <w:rsid w:val="003F603D"/>
    <w:rsid w:val="003F7AD4"/>
    <w:rsid w:val="003F7DE3"/>
    <w:rsid w:val="004007E1"/>
    <w:rsid w:val="004017B1"/>
    <w:rsid w:val="00402D10"/>
    <w:rsid w:val="00403D53"/>
    <w:rsid w:val="00403E48"/>
    <w:rsid w:val="004122ED"/>
    <w:rsid w:val="00413E22"/>
    <w:rsid w:val="00415532"/>
    <w:rsid w:val="00416F56"/>
    <w:rsid w:val="0041703A"/>
    <w:rsid w:val="00417047"/>
    <w:rsid w:val="00420C3F"/>
    <w:rsid w:val="0042333F"/>
    <w:rsid w:val="00423ACA"/>
    <w:rsid w:val="00424028"/>
    <w:rsid w:val="00425821"/>
    <w:rsid w:val="00425AF2"/>
    <w:rsid w:val="0042644E"/>
    <w:rsid w:val="00426A94"/>
    <w:rsid w:val="00430216"/>
    <w:rsid w:val="004317E6"/>
    <w:rsid w:val="00434547"/>
    <w:rsid w:val="00434C50"/>
    <w:rsid w:val="00435207"/>
    <w:rsid w:val="00435848"/>
    <w:rsid w:val="00436CF2"/>
    <w:rsid w:val="004401C4"/>
    <w:rsid w:val="00441689"/>
    <w:rsid w:val="00445198"/>
    <w:rsid w:val="00450D6D"/>
    <w:rsid w:val="00451EB1"/>
    <w:rsid w:val="004558CD"/>
    <w:rsid w:val="00455B35"/>
    <w:rsid w:val="004624C1"/>
    <w:rsid w:val="00471934"/>
    <w:rsid w:val="004728C0"/>
    <w:rsid w:val="004751C9"/>
    <w:rsid w:val="00480D2F"/>
    <w:rsid w:val="00480FCC"/>
    <w:rsid w:val="00482E50"/>
    <w:rsid w:val="004831F0"/>
    <w:rsid w:val="00483A4E"/>
    <w:rsid w:val="00484000"/>
    <w:rsid w:val="00485761"/>
    <w:rsid w:val="004865CD"/>
    <w:rsid w:val="004915C8"/>
    <w:rsid w:val="0049166F"/>
    <w:rsid w:val="00492306"/>
    <w:rsid w:val="00494D10"/>
    <w:rsid w:val="004A10D2"/>
    <w:rsid w:val="004A14D2"/>
    <w:rsid w:val="004A2777"/>
    <w:rsid w:val="004A2A4C"/>
    <w:rsid w:val="004A3645"/>
    <w:rsid w:val="004B0374"/>
    <w:rsid w:val="004B1C81"/>
    <w:rsid w:val="004B1E18"/>
    <w:rsid w:val="004B34D6"/>
    <w:rsid w:val="004B35DF"/>
    <w:rsid w:val="004B3C4E"/>
    <w:rsid w:val="004B57F6"/>
    <w:rsid w:val="004B5909"/>
    <w:rsid w:val="004C3749"/>
    <w:rsid w:val="004C3884"/>
    <w:rsid w:val="004C38F2"/>
    <w:rsid w:val="004C41E8"/>
    <w:rsid w:val="004C5A0B"/>
    <w:rsid w:val="004C5B7F"/>
    <w:rsid w:val="004D1630"/>
    <w:rsid w:val="004D1F2F"/>
    <w:rsid w:val="004D36DB"/>
    <w:rsid w:val="004D5235"/>
    <w:rsid w:val="004D5317"/>
    <w:rsid w:val="004D5EA1"/>
    <w:rsid w:val="004E0439"/>
    <w:rsid w:val="004E210A"/>
    <w:rsid w:val="004F014E"/>
    <w:rsid w:val="004F111A"/>
    <w:rsid w:val="004F25C8"/>
    <w:rsid w:val="004F363A"/>
    <w:rsid w:val="004F4C7B"/>
    <w:rsid w:val="00500D9E"/>
    <w:rsid w:val="00502EFB"/>
    <w:rsid w:val="005038E9"/>
    <w:rsid w:val="00512D73"/>
    <w:rsid w:val="00513627"/>
    <w:rsid w:val="005155C9"/>
    <w:rsid w:val="00515724"/>
    <w:rsid w:val="00517296"/>
    <w:rsid w:val="00517AA6"/>
    <w:rsid w:val="005211B5"/>
    <w:rsid w:val="00521A51"/>
    <w:rsid w:val="00521B8C"/>
    <w:rsid w:val="005233A7"/>
    <w:rsid w:val="0052491B"/>
    <w:rsid w:val="00526DF7"/>
    <w:rsid w:val="00530C7F"/>
    <w:rsid w:val="00532429"/>
    <w:rsid w:val="0053337E"/>
    <w:rsid w:val="005334C0"/>
    <w:rsid w:val="00533CB6"/>
    <w:rsid w:val="00534DD3"/>
    <w:rsid w:val="005365FD"/>
    <w:rsid w:val="005370D6"/>
    <w:rsid w:val="005435ED"/>
    <w:rsid w:val="005438D2"/>
    <w:rsid w:val="00543EFB"/>
    <w:rsid w:val="00544141"/>
    <w:rsid w:val="00544B58"/>
    <w:rsid w:val="00545EFC"/>
    <w:rsid w:val="005461D5"/>
    <w:rsid w:val="005503E0"/>
    <w:rsid w:val="00550E32"/>
    <w:rsid w:val="00553BC7"/>
    <w:rsid w:val="00555E60"/>
    <w:rsid w:val="00557C2F"/>
    <w:rsid w:val="005609D0"/>
    <w:rsid w:val="00562289"/>
    <w:rsid w:val="00563A9D"/>
    <w:rsid w:val="00564656"/>
    <w:rsid w:val="0056545C"/>
    <w:rsid w:val="00565978"/>
    <w:rsid w:val="005722AB"/>
    <w:rsid w:val="0057261B"/>
    <w:rsid w:val="00574408"/>
    <w:rsid w:val="00574471"/>
    <w:rsid w:val="005745B0"/>
    <w:rsid w:val="00574626"/>
    <w:rsid w:val="0057579B"/>
    <w:rsid w:val="0058093D"/>
    <w:rsid w:val="00581999"/>
    <w:rsid w:val="00582AB5"/>
    <w:rsid w:val="00584CF6"/>
    <w:rsid w:val="005851DB"/>
    <w:rsid w:val="005862E0"/>
    <w:rsid w:val="00587A6B"/>
    <w:rsid w:val="0059148F"/>
    <w:rsid w:val="0059264D"/>
    <w:rsid w:val="00593FD9"/>
    <w:rsid w:val="00596179"/>
    <w:rsid w:val="0059660D"/>
    <w:rsid w:val="00596F35"/>
    <w:rsid w:val="005A029A"/>
    <w:rsid w:val="005A175E"/>
    <w:rsid w:val="005A26C0"/>
    <w:rsid w:val="005A2A97"/>
    <w:rsid w:val="005A4F2F"/>
    <w:rsid w:val="005A5C16"/>
    <w:rsid w:val="005A7077"/>
    <w:rsid w:val="005A7F82"/>
    <w:rsid w:val="005B034E"/>
    <w:rsid w:val="005B2BDA"/>
    <w:rsid w:val="005B4B07"/>
    <w:rsid w:val="005B75BB"/>
    <w:rsid w:val="005B78BB"/>
    <w:rsid w:val="005C1CE8"/>
    <w:rsid w:val="005C1E05"/>
    <w:rsid w:val="005C2E67"/>
    <w:rsid w:val="005C3016"/>
    <w:rsid w:val="005C55EB"/>
    <w:rsid w:val="005C6B2A"/>
    <w:rsid w:val="005C7052"/>
    <w:rsid w:val="005C7AA3"/>
    <w:rsid w:val="005C7D97"/>
    <w:rsid w:val="005D0DCB"/>
    <w:rsid w:val="005D2167"/>
    <w:rsid w:val="005D2B51"/>
    <w:rsid w:val="005D5545"/>
    <w:rsid w:val="005D6464"/>
    <w:rsid w:val="005D6BAE"/>
    <w:rsid w:val="005D7356"/>
    <w:rsid w:val="005D79FA"/>
    <w:rsid w:val="005E0424"/>
    <w:rsid w:val="005E05AC"/>
    <w:rsid w:val="005E3656"/>
    <w:rsid w:val="005E3D4C"/>
    <w:rsid w:val="005E3FCE"/>
    <w:rsid w:val="005E4DA2"/>
    <w:rsid w:val="005F3A31"/>
    <w:rsid w:val="005F4E4E"/>
    <w:rsid w:val="005F5826"/>
    <w:rsid w:val="005F5C78"/>
    <w:rsid w:val="005F7540"/>
    <w:rsid w:val="005F78DC"/>
    <w:rsid w:val="00600542"/>
    <w:rsid w:val="006028D1"/>
    <w:rsid w:val="00604417"/>
    <w:rsid w:val="006063FC"/>
    <w:rsid w:val="00607A0A"/>
    <w:rsid w:val="00607ED7"/>
    <w:rsid w:val="00612477"/>
    <w:rsid w:val="00613F24"/>
    <w:rsid w:val="0061479A"/>
    <w:rsid w:val="006161C7"/>
    <w:rsid w:val="006173CE"/>
    <w:rsid w:val="0062135E"/>
    <w:rsid w:val="00621549"/>
    <w:rsid w:val="00623141"/>
    <w:rsid w:val="0062570A"/>
    <w:rsid w:val="0063009D"/>
    <w:rsid w:val="00630EDE"/>
    <w:rsid w:val="00635CD3"/>
    <w:rsid w:val="00636301"/>
    <w:rsid w:val="006410EC"/>
    <w:rsid w:val="0064234F"/>
    <w:rsid w:val="00646048"/>
    <w:rsid w:val="006462F5"/>
    <w:rsid w:val="006464CC"/>
    <w:rsid w:val="00647209"/>
    <w:rsid w:val="00650595"/>
    <w:rsid w:val="00650FFA"/>
    <w:rsid w:val="00651D01"/>
    <w:rsid w:val="00652A7B"/>
    <w:rsid w:val="00652F4A"/>
    <w:rsid w:val="00653CE9"/>
    <w:rsid w:val="00654689"/>
    <w:rsid w:val="00655398"/>
    <w:rsid w:val="00655F90"/>
    <w:rsid w:val="0065610F"/>
    <w:rsid w:val="006577B6"/>
    <w:rsid w:val="00662A4D"/>
    <w:rsid w:val="00662F50"/>
    <w:rsid w:val="006635A9"/>
    <w:rsid w:val="00663BE0"/>
    <w:rsid w:val="00673E59"/>
    <w:rsid w:val="006774D3"/>
    <w:rsid w:val="00680484"/>
    <w:rsid w:val="006832EC"/>
    <w:rsid w:val="00683630"/>
    <w:rsid w:val="00685EBC"/>
    <w:rsid w:val="006909E3"/>
    <w:rsid w:val="00692F59"/>
    <w:rsid w:val="006935AD"/>
    <w:rsid w:val="006936BC"/>
    <w:rsid w:val="0069371F"/>
    <w:rsid w:val="006978E5"/>
    <w:rsid w:val="006A1948"/>
    <w:rsid w:val="006A3673"/>
    <w:rsid w:val="006A3A58"/>
    <w:rsid w:val="006A3E46"/>
    <w:rsid w:val="006A3F39"/>
    <w:rsid w:val="006A44C7"/>
    <w:rsid w:val="006A44F4"/>
    <w:rsid w:val="006A72A3"/>
    <w:rsid w:val="006B0DD8"/>
    <w:rsid w:val="006B1171"/>
    <w:rsid w:val="006B24BD"/>
    <w:rsid w:val="006B471E"/>
    <w:rsid w:val="006B4EE6"/>
    <w:rsid w:val="006B62E3"/>
    <w:rsid w:val="006B6B70"/>
    <w:rsid w:val="006B7199"/>
    <w:rsid w:val="006C20BF"/>
    <w:rsid w:val="006C3352"/>
    <w:rsid w:val="006C7E40"/>
    <w:rsid w:val="006D0331"/>
    <w:rsid w:val="006D0BA3"/>
    <w:rsid w:val="006D14E0"/>
    <w:rsid w:val="006D3A9D"/>
    <w:rsid w:val="006D6A01"/>
    <w:rsid w:val="006E0334"/>
    <w:rsid w:val="006E05B4"/>
    <w:rsid w:val="006E0BAF"/>
    <w:rsid w:val="006E2B92"/>
    <w:rsid w:val="006E2DAD"/>
    <w:rsid w:val="006E3397"/>
    <w:rsid w:val="006E4740"/>
    <w:rsid w:val="006E79A4"/>
    <w:rsid w:val="006F1323"/>
    <w:rsid w:val="006F2686"/>
    <w:rsid w:val="006F2BD6"/>
    <w:rsid w:val="006F2D16"/>
    <w:rsid w:val="006F3D23"/>
    <w:rsid w:val="006F3E1A"/>
    <w:rsid w:val="006F3F55"/>
    <w:rsid w:val="006F4DCE"/>
    <w:rsid w:val="006F5AF0"/>
    <w:rsid w:val="006F5DE1"/>
    <w:rsid w:val="00700497"/>
    <w:rsid w:val="00701CF4"/>
    <w:rsid w:val="00703A5C"/>
    <w:rsid w:val="00704D30"/>
    <w:rsid w:val="0070515B"/>
    <w:rsid w:val="007058B6"/>
    <w:rsid w:val="0070648E"/>
    <w:rsid w:val="00707462"/>
    <w:rsid w:val="00707627"/>
    <w:rsid w:val="00707F1E"/>
    <w:rsid w:val="00711D40"/>
    <w:rsid w:val="00713EEC"/>
    <w:rsid w:val="0071671B"/>
    <w:rsid w:val="00716E34"/>
    <w:rsid w:val="00717043"/>
    <w:rsid w:val="0072152C"/>
    <w:rsid w:val="00723D36"/>
    <w:rsid w:val="00726369"/>
    <w:rsid w:val="007316B0"/>
    <w:rsid w:val="00731ED0"/>
    <w:rsid w:val="00733465"/>
    <w:rsid w:val="00735E6B"/>
    <w:rsid w:val="007400FE"/>
    <w:rsid w:val="007405F7"/>
    <w:rsid w:val="007421A3"/>
    <w:rsid w:val="00742BF1"/>
    <w:rsid w:val="007450C7"/>
    <w:rsid w:val="007459E6"/>
    <w:rsid w:val="00746BAC"/>
    <w:rsid w:val="00747581"/>
    <w:rsid w:val="0075062A"/>
    <w:rsid w:val="00751680"/>
    <w:rsid w:val="00752F23"/>
    <w:rsid w:val="007541F7"/>
    <w:rsid w:val="00754D41"/>
    <w:rsid w:val="007557B6"/>
    <w:rsid w:val="0075770C"/>
    <w:rsid w:val="00762EFC"/>
    <w:rsid w:val="0076400B"/>
    <w:rsid w:val="007646A9"/>
    <w:rsid w:val="00765352"/>
    <w:rsid w:val="007671F7"/>
    <w:rsid w:val="007707C5"/>
    <w:rsid w:val="00770CB4"/>
    <w:rsid w:val="007711E9"/>
    <w:rsid w:val="00771AFE"/>
    <w:rsid w:val="00772980"/>
    <w:rsid w:val="00772C33"/>
    <w:rsid w:val="007731E3"/>
    <w:rsid w:val="007738A1"/>
    <w:rsid w:val="00773E42"/>
    <w:rsid w:val="00774807"/>
    <w:rsid w:val="00774F74"/>
    <w:rsid w:val="0077570C"/>
    <w:rsid w:val="00775811"/>
    <w:rsid w:val="007764DD"/>
    <w:rsid w:val="00781DC2"/>
    <w:rsid w:val="007821CC"/>
    <w:rsid w:val="00782690"/>
    <w:rsid w:val="0078443A"/>
    <w:rsid w:val="00784FC7"/>
    <w:rsid w:val="00785828"/>
    <w:rsid w:val="007861EE"/>
    <w:rsid w:val="00786719"/>
    <w:rsid w:val="00786D8D"/>
    <w:rsid w:val="00787B30"/>
    <w:rsid w:val="007901E8"/>
    <w:rsid w:val="00791C5A"/>
    <w:rsid w:val="007A05F1"/>
    <w:rsid w:val="007A3059"/>
    <w:rsid w:val="007A418B"/>
    <w:rsid w:val="007A73B8"/>
    <w:rsid w:val="007B086E"/>
    <w:rsid w:val="007B198C"/>
    <w:rsid w:val="007B4BDF"/>
    <w:rsid w:val="007B7463"/>
    <w:rsid w:val="007B761B"/>
    <w:rsid w:val="007C0197"/>
    <w:rsid w:val="007C299A"/>
    <w:rsid w:val="007C37B3"/>
    <w:rsid w:val="007C7988"/>
    <w:rsid w:val="007C7995"/>
    <w:rsid w:val="007D2AD8"/>
    <w:rsid w:val="007D43F1"/>
    <w:rsid w:val="007D4EB2"/>
    <w:rsid w:val="007E077D"/>
    <w:rsid w:val="007E1E2D"/>
    <w:rsid w:val="007E2058"/>
    <w:rsid w:val="007E2070"/>
    <w:rsid w:val="007E441F"/>
    <w:rsid w:val="007E59B9"/>
    <w:rsid w:val="007E59EB"/>
    <w:rsid w:val="007E736F"/>
    <w:rsid w:val="007F3EBB"/>
    <w:rsid w:val="007F7F47"/>
    <w:rsid w:val="008005DB"/>
    <w:rsid w:val="00803EEF"/>
    <w:rsid w:val="00804EC2"/>
    <w:rsid w:val="00806CED"/>
    <w:rsid w:val="00810D2C"/>
    <w:rsid w:val="008113D8"/>
    <w:rsid w:val="00815388"/>
    <w:rsid w:val="00816934"/>
    <w:rsid w:val="00820FA3"/>
    <w:rsid w:val="00823DFB"/>
    <w:rsid w:val="00826B80"/>
    <w:rsid w:val="00826C2F"/>
    <w:rsid w:val="008315D9"/>
    <w:rsid w:val="00831F8D"/>
    <w:rsid w:val="00832AFF"/>
    <w:rsid w:val="00832C4C"/>
    <w:rsid w:val="00834C02"/>
    <w:rsid w:val="008378FD"/>
    <w:rsid w:val="00841F3F"/>
    <w:rsid w:val="0084253B"/>
    <w:rsid w:val="00842544"/>
    <w:rsid w:val="008432F9"/>
    <w:rsid w:val="0084569E"/>
    <w:rsid w:val="0084626D"/>
    <w:rsid w:val="00846BDE"/>
    <w:rsid w:val="00847EAC"/>
    <w:rsid w:val="008518BD"/>
    <w:rsid w:val="0085247C"/>
    <w:rsid w:val="0085263E"/>
    <w:rsid w:val="00853A35"/>
    <w:rsid w:val="00853A54"/>
    <w:rsid w:val="00855E45"/>
    <w:rsid w:val="00856A39"/>
    <w:rsid w:val="008606F0"/>
    <w:rsid w:val="00861340"/>
    <w:rsid w:val="00862C0D"/>
    <w:rsid w:val="008632C5"/>
    <w:rsid w:val="008667AA"/>
    <w:rsid w:val="00867CE4"/>
    <w:rsid w:val="00867F09"/>
    <w:rsid w:val="0087101C"/>
    <w:rsid w:val="00871C39"/>
    <w:rsid w:val="008722C2"/>
    <w:rsid w:val="00873DE5"/>
    <w:rsid w:val="008745D3"/>
    <w:rsid w:val="00874CBB"/>
    <w:rsid w:val="00882B91"/>
    <w:rsid w:val="00883B98"/>
    <w:rsid w:val="008918F7"/>
    <w:rsid w:val="00891D3A"/>
    <w:rsid w:val="0089300D"/>
    <w:rsid w:val="00894AE7"/>
    <w:rsid w:val="00895D07"/>
    <w:rsid w:val="008978DB"/>
    <w:rsid w:val="0089797F"/>
    <w:rsid w:val="00897BF1"/>
    <w:rsid w:val="008A128B"/>
    <w:rsid w:val="008A152F"/>
    <w:rsid w:val="008A1C5C"/>
    <w:rsid w:val="008A33A4"/>
    <w:rsid w:val="008A481E"/>
    <w:rsid w:val="008A5472"/>
    <w:rsid w:val="008A6307"/>
    <w:rsid w:val="008A7020"/>
    <w:rsid w:val="008B2C21"/>
    <w:rsid w:val="008B332F"/>
    <w:rsid w:val="008B344B"/>
    <w:rsid w:val="008B6E64"/>
    <w:rsid w:val="008B72B6"/>
    <w:rsid w:val="008B7589"/>
    <w:rsid w:val="008B7B41"/>
    <w:rsid w:val="008C0F71"/>
    <w:rsid w:val="008C22A1"/>
    <w:rsid w:val="008C22EA"/>
    <w:rsid w:val="008C5837"/>
    <w:rsid w:val="008C74E8"/>
    <w:rsid w:val="008C7752"/>
    <w:rsid w:val="008D012A"/>
    <w:rsid w:val="008D23F5"/>
    <w:rsid w:val="008D26AF"/>
    <w:rsid w:val="008D29CE"/>
    <w:rsid w:val="008D3550"/>
    <w:rsid w:val="008D3BE7"/>
    <w:rsid w:val="008D3E63"/>
    <w:rsid w:val="008D4257"/>
    <w:rsid w:val="008D5753"/>
    <w:rsid w:val="008D65F5"/>
    <w:rsid w:val="008E0F1D"/>
    <w:rsid w:val="008E1430"/>
    <w:rsid w:val="008E25B9"/>
    <w:rsid w:val="008E2CC6"/>
    <w:rsid w:val="008E3843"/>
    <w:rsid w:val="008E3A92"/>
    <w:rsid w:val="008E540B"/>
    <w:rsid w:val="008E6B49"/>
    <w:rsid w:val="008E77E6"/>
    <w:rsid w:val="008E7EA0"/>
    <w:rsid w:val="008F111D"/>
    <w:rsid w:val="008F11B8"/>
    <w:rsid w:val="008F172A"/>
    <w:rsid w:val="008F4CB3"/>
    <w:rsid w:val="008F5A97"/>
    <w:rsid w:val="008F5DC1"/>
    <w:rsid w:val="008F5F55"/>
    <w:rsid w:val="008F6035"/>
    <w:rsid w:val="008F74AE"/>
    <w:rsid w:val="00900154"/>
    <w:rsid w:val="00901194"/>
    <w:rsid w:val="00903CF7"/>
    <w:rsid w:val="009049B9"/>
    <w:rsid w:val="00906629"/>
    <w:rsid w:val="009068F6"/>
    <w:rsid w:val="009076AE"/>
    <w:rsid w:val="009109DD"/>
    <w:rsid w:val="00911DD7"/>
    <w:rsid w:val="009130D0"/>
    <w:rsid w:val="0091584D"/>
    <w:rsid w:val="00916298"/>
    <w:rsid w:val="00922134"/>
    <w:rsid w:val="00923E41"/>
    <w:rsid w:val="00924067"/>
    <w:rsid w:val="0092406C"/>
    <w:rsid w:val="00924803"/>
    <w:rsid w:val="00926601"/>
    <w:rsid w:val="00926E12"/>
    <w:rsid w:val="0092708D"/>
    <w:rsid w:val="00927D9B"/>
    <w:rsid w:val="009316F2"/>
    <w:rsid w:val="00932D29"/>
    <w:rsid w:val="00933982"/>
    <w:rsid w:val="00935B23"/>
    <w:rsid w:val="00935C52"/>
    <w:rsid w:val="00936BA1"/>
    <w:rsid w:val="0094123E"/>
    <w:rsid w:val="00944C74"/>
    <w:rsid w:val="00946844"/>
    <w:rsid w:val="009518BA"/>
    <w:rsid w:val="009522E4"/>
    <w:rsid w:val="009532B6"/>
    <w:rsid w:val="009545BE"/>
    <w:rsid w:val="00954ABA"/>
    <w:rsid w:val="00955458"/>
    <w:rsid w:val="0095686C"/>
    <w:rsid w:val="0095711C"/>
    <w:rsid w:val="00960911"/>
    <w:rsid w:val="009611D3"/>
    <w:rsid w:val="00962C9D"/>
    <w:rsid w:val="00963270"/>
    <w:rsid w:val="009702DF"/>
    <w:rsid w:val="00970827"/>
    <w:rsid w:val="00970929"/>
    <w:rsid w:val="009740BC"/>
    <w:rsid w:val="00975654"/>
    <w:rsid w:val="00976AF4"/>
    <w:rsid w:val="00977DAF"/>
    <w:rsid w:val="00977F68"/>
    <w:rsid w:val="009876B3"/>
    <w:rsid w:val="009919C3"/>
    <w:rsid w:val="00992600"/>
    <w:rsid w:val="00993E56"/>
    <w:rsid w:val="00993FA1"/>
    <w:rsid w:val="009967E0"/>
    <w:rsid w:val="00997551"/>
    <w:rsid w:val="00997EAC"/>
    <w:rsid w:val="009A1740"/>
    <w:rsid w:val="009A3D05"/>
    <w:rsid w:val="009A5B3C"/>
    <w:rsid w:val="009B2797"/>
    <w:rsid w:val="009B2FFB"/>
    <w:rsid w:val="009B6010"/>
    <w:rsid w:val="009B6F93"/>
    <w:rsid w:val="009B74D9"/>
    <w:rsid w:val="009C1368"/>
    <w:rsid w:val="009C32F3"/>
    <w:rsid w:val="009C6548"/>
    <w:rsid w:val="009C71CF"/>
    <w:rsid w:val="009D16C6"/>
    <w:rsid w:val="009D39FB"/>
    <w:rsid w:val="009D6EFB"/>
    <w:rsid w:val="009E18B9"/>
    <w:rsid w:val="009E35E1"/>
    <w:rsid w:val="009E57E7"/>
    <w:rsid w:val="009E5800"/>
    <w:rsid w:val="009E61E1"/>
    <w:rsid w:val="009E7F88"/>
    <w:rsid w:val="009F21A0"/>
    <w:rsid w:val="009F274E"/>
    <w:rsid w:val="009F3867"/>
    <w:rsid w:val="009F4941"/>
    <w:rsid w:val="009F4DAC"/>
    <w:rsid w:val="009F5501"/>
    <w:rsid w:val="00A0329A"/>
    <w:rsid w:val="00A04519"/>
    <w:rsid w:val="00A05058"/>
    <w:rsid w:val="00A0662F"/>
    <w:rsid w:val="00A104C9"/>
    <w:rsid w:val="00A1099B"/>
    <w:rsid w:val="00A11894"/>
    <w:rsid w:val="00A12445"/>
    <w:rsid w:val="00A150BF"/>
    <w:rsid w:val="00A1790B"/>
    <w:rsid w:val="00A17913"/>
    <w:rsid w:val="00A17A35"/>
    <w:rsid w:val="00A17AB5"/>
    <w:rsid w:val="00A204E9"/>
    <w:rsid w:val="00A21399"/>
    <w:rsid w:val="00A2326D"/>
    <w:rsid w:val="00A24DE7"/>
    <w:rsid w:val="00A274BC"/>
    <w:rsid w:val="00A3028F"/>
    <w:rsid w:val="00A3120C"/>
    <w:rsid w:val="00A32847"/>
    <w:rsid w:val="00A338B2"/>
    <w:rsid w:val="00A34EA4"/>
    <w:rsid w:val="00A3558E"/>
    <w:rsid w:val="00A35C75"/>
    <w:rsid w:val="00A3667A"/>
    <w:rsid w:val="00A377B9"/>
    <w:rsid w:val="00A40BDC"/>
    <w:rsid w:val="00A41145"/>
    <w:rsid w:val="00A416FA"/>
    <w:rsid w:val="00A426EE"/>
    <w:rsid w:val="00A43CB8"/>
    <w:rsid w:val="00A43D18"/>
    <w:rsid w:val="00A453D2"/>
    <w:rsid w:val="00A46A70"/>
    <w:rsid w:val="00A50383"/>
    <w:rsid w:val="00A5190D"/>
    <w:rsid w:val="00A51979"/>
    <w:rsid w:val="00A53590"/>
    <w:rsid w:val="00A5478D"/>
    <w:rsid w:val="00A54A05"/>
    <w:rsid w:val="00A54C92"/>
    <w:rsid w:val="00A562AD"/>
    <w:rsid w:val="00A568B7"/>
    <w:rsid w:val="00A60AF6"/>
    <w:rsid w:val="00A60D6C"/>
    <w:rsid w:val="00A61700"/>
    <w:rsid w:val="00A62080"/>
    <w:rsid w:val="00A64A50"/>
    <w:rsid w:val="00A66C4A"/>
    <w:rsid w:val="00A67F4A"/>
    <w:rsid w:val="00A707EC"/>
    <w:rsid w:val="00A74AFE"/>
    <w:rsid w:val="00A7606D"/>
    <w:rsid w:val="00A80B3C"/>
    <w:rsid w:val="00A80D06"/>
    <w:rsid w:val="00A810B5"/>
    <w:rsid w:val="00A829C9"/>
    <w:rsid w:val="00A852B8"/>
    <w:rsid w:val="00A86C9E"/>
    <w:rsid w:val="00A87A08"/>
    <w:rsid w:val="00A90664"/>
    <w:rsid w:val="00A913F0"/>
    <w:rsid w:val="00A914D6"/>
    <w:rsid w:val="00A93669"/>
    <w:rsid w:val="00AA5A98"/>
    <w:rsid w:val="00AA5E67"/>
    <w:rsid w:val="00AA5EB1"/>
    <w:rsid w:val="00AA6552"/>
    <w:rsid w:val="00AB0411"/>
    <w:rsid w:val="00AB0FB7"/>
    <w:rsid w:val="00AB2714"/>
    <w:rsid w:val="00AB2724"/>
    <w:rsid w:val="00AB37B8"/>
    <w:rsid w:val="00AB70B0"/>
    <w:rsid w:val="00AC1179"/>
    <w:rsid w:val="00AC29A1"/>
    <w:rsid w:val="00AC35D6"/>
    <w:rsid w:val="00AC3810"/>
    <w:rsid w:val="00AC651C"/>
    <w:rsid w:val="00AC7964"/>
    <w:rsid w:val="00AD03F5"/>
    <w:rsid w:val="00AD1263"/>
    <w:rsid w:val="00AD145B"/>
    <w:rsid w:val="00AD3889"/>
    <w:rsid w:val="00AD43D7"/>
    <w:rsid w:val="00AD47BB"/>
    <w:rsid w:val="00AD4A5E"/>
    <w:rsid w:val="00AD57BC"/>
    <w:rsid w:val="00AD7172"/>
    <w:rsid w:val="00AD7C37"/>
    <w:rsid w:val="00AE3092"/>
    <w:rsid w:val="00AE3435"/>
    <w:rsid w:val="00AE34B6"/>
    <w:rsid w:val="00AE72CD"/>
    <w:rsid w:val="00AE7615"/>
    <w:rsid w:val="00AF0612"/>
    <w:rsid w:val="00AF31D9"/>
    <w:rsid w:val="00AF42EF"/>
    <w:rsid w:val="00AF641A"/>
    <w:rsid w:val="00AF7DC0"/>
    <w:rsid w:val="00B00FB4"/>
    <w:rsid w:val="00B03668"/>
    <w:rsid w:val="00B04947"/>
    <w:rsid w:val="00B07891"/>
    <w:rsid w:val="00B16624"/>
    <w:rsid w:val="00B16BFE"/>
    <w:rsid w:val="00B21139"/>
    <w:rsid w:val="00B237BD"/>
    <w:rsid w:val="00B332F8"/>
    <w:rsid w:val="00B36E8C"/>
    <w:rsid w:val="00B378C4"/>
    <w:rsid w:val="00B4053E"/>
    <w:rsid w:val="00B40772"/>
    <w:rsid w:val="00B41E8C"/>
    <w:rsid w:val="00B42F50"/>
    <w:rsid w:val="00B43092"/>
    <w:rsid w:val="00B430EC"/>
    <w:rsid w:val="00B441FE"/>
    <w:rsid w:val="00B45A57"/>
    <w:rsid w:val="00B512FF"/>
    <w:rsid w:val="00B518AB"/>
    <w:rsid w:val="00B51FDC"/>
    <w:rsid w:val="00B53B97"/>
    <w:rsid w:val="00B55DB3"/>
    <w:rsid w:val="00B56A3E"/>
    <w:rsid w:val="00B573DF"/>
    <w:rsid w:val="00B609A6"/>
    <w:rsid w:val="00B62FA3"/>
    <w:rsid w:val="00B70B1E"/>
    <w:rsid w:val="00B71356"/>
    <w:rsid w:val="00B73019"/>
    <w:rsid w:val="00B754F5"/>
    <w:rsid w:val="00B77FFC"/>
    <w:rsid w:val="00B8219D"/>
    <w:rsid w:val="00B83CC3"/>
    <w:rsid w:val="00B86414"/>
    <w:rsid w:val="00B869F6"/>
    <w:rsid w:val="00B906F4"/>
    <w:rsid w:val="00B9282A"/>
    <w:rsid w:val="00B92D36"/>
    <w:rsid w:val="00B92E3F"/>
    <w:rsid w:val="00B9375A"/>
    <w:rsid w:val="00B947A2"/>
    <w:rsid w:val="00B95496"/>
    <w:rsid w:val="00B95726"/>
    <w:rsid w:val="00BA079C"/>
    <w:rsid w:val="00BA0A74"/>
    <w:rsid w:val="00BA14B3"/>
    <w:rsid w:val="00BA4740"/>
    <w:rsid w:val="00BA6388"/>
    <w:rsid w:val="00BA6C86"/>
    <w:rsid w:val="00BB09FF"/>
    <w:rsid w:val="00BB1D27"/>
    <w:rsid w:val="00BB3B4D"/>
    <w:rsid w:val="00BB3EFB"/>
    <w:rsid w:val="00BB52D9"/>
    <w:rsid w:val="00BC35B3"/>
    <w:rsid w:val="00BC365D"/>
    <w:rsid w:val="00BC72EC"/>
    <w:rsid w:val="00BD0511"/>
    <w:rsid w:val="00BD2E15"/>
    <w:rsid w:val="00BD4E8F"/>
    <w:rsid w:val="00BD5A1B"/>
    <w:rsid w:val="00BD5E7F"/>
    <w:rsid w:val="00BD7CE5"/>
    <w:rsid w:val="00BE34A5"/>
    <w:rsid w:val="00BE45E2"/>
    <w:rsid w:val="00BE53F8"/>
    <w:rsid w:val="00BE63DB"/>
    <w:rsid w:val="00BE70F3"/>
    <w:rsid w:val="00BE7128"/>
    <w:rsid w:val="00BF110E"/>
    <w:rsid w:val="00BF61B3"/>
    <w:rsid w:val="00C00B79"/>
    <w:rsid w:val="00C02F6D"/>
    <w:rsid w:val="00C03BFE"/>
    <w:rsid w:val="00C040B0"/>
    <w:rsid w:val="00C04F5A"/>
    <w:rsid w:val="00C060DF"/>
    <w:rsid w:val="00C0657B"/>
    <w:rsid w:val="00C0726E"/>
    <w:rsid w:val="00C1042C"/>
    <w:rsid w:val="00C11265"/>
    <w:rsid w:val="00C12193"/>
    <w:rsid w:val="00C164C5"/>
    <w:rsid w:val="00C200AC"/>
    <w:rsid w:val="00C2156A"/>
    <w:rsid w:val="00C21E8E"/>
    <w:rsid w:val="00C22B88"/>
    <w:rsid w:val="00C260FF"/>
    <w:rsid w:val="00C2771E"/>
    <w:rsid w:val="00C307D6"/>
    <w:rsid w:val="00C31191"/>
    <w:rsid w:val="00C33472"/>
    <w:rsid w:val="00C34719"/>
    <w:rsid w:val="00C35E92"/>
    <w:rsid w:val="00C37203"/>
    <w:rsid w:val="00C4030D"/>
    <w:rsid w:val="00C40C7C"/>
    <w:rsid w:val="00C4440C"/>
    <w:rsid w:val="00C45112"/>
    <w:rsid w:val="00C46ED0"/>
    <w:rsid w:val="00C478D0"/>
    <w:rsid w:val="00C5082F"/>
    <w:rsid w:val="00C5129B"/>
    <w:rsid w:val="00C53758"/>
    <w:rsid w:val="00C537A0"/>
    <w:rsid w:val="00C54813"/>
    <w:rsid w:val="00C550D9"/>
    <w:rsid w:val="00C555A2"/>
    <w:rsid w:val="00C565D0"/>
    <w:rsid w:val="00C567EF"/>
    <w:rsid w:val="00C56AA9"/>
    <w:rsid w:val="00C6065A"/>
    <w:rsid w:val="00C60BAF"/>
    <w:rsid w:val="00C60D1B"/>
    <w:rsid w:val="00C65AE9"/>
    <w:rsid w:val="00C66152"/>
    <w:rsid w:val="00C70DCC"/>
    <w:rsid w:val="00C71375"/>
    <w:rsid w:val="00C72A8F"/>
    <w:rsid w:val="00C733B8"/>
    <w:rsid w:val="00C740F8"/>
    <w:rsid w:val="00C7416F"/>
    <w:rsid w:val="00C75BCB"/>
    <w:rsid w:val="00C77212"/>
    <w:rsid w:val="00C80485"/>
    <w:rsid w:val="00C80CA7"/>
    <w:rsid w:val="00C81B2E"/>
    <w:rsid w:val="00C81C17"/>
    <w:rsid w:val="00C82EC5"/>
    <w:rsid w:val="00C8398A"/>
    <w:rsid w:val="00C846B9"/>
    <w:rsid w:val="00C870C5"/>
    <w:rsid w:val="00C8776A"/>
    <w:rsid w:val="00C9289F"/>
    <w:rsid w:val="00C939C2"/>
    <w:rsid w:val="00C946C2"/>
    <w:rsid w:val="00C94F87"/>
    <w:rsid w:val="00C957AD"/>
    <w:rsid w:val="00C97096"/>
    <w:rsid w:val="00CA0384"/>
    <w:rsid w:val="00CA3493"/>
    <w:rsid w:val="00CA424C"/>
    <w:rsid w:val="00CA675D"/>
    <w:rsid w:val="00CB0584"/>
    <w:rsid w:val="00CB31B6"/>
    <w:rsid w:val="00CB53A1"/>
    <w:rsid w:val="00CB5A17"/>
    <w:rsid w:val="00CB6B96"/>
    <w:rsid w:val="00CB7C85"/>
    <w:rsid w:val="00CC0553"/>
    <w:rsid w:val="00CC34E0"/>
    <w:rsid w:val="00CC3CBA"/>
    <w:rsid w:val="00CD0E4A"/>
    <w:rsid w:val="00CD2038"/>
    <w:rsid w:val="00CD5EC7"/>
    <w:rsid w:val="00CD6A61"/>
    <w:rsid w:val="00CE04DC"/>
    <w:rsid w:val="00CE13EA"/>
    <w:rsid w:val="00CE2572"/>
    <w:rsid w:val="00CE2660"/>
    <w:rsid w:val="00CE5AD4"/>
    <w:rsid w:val="00CE7665"/>
    <w:rsid w:val="00CF1259"/>
    <w:rsid w:val="00CF1AB7"/>
    <w:rsid w:val="00CF1D57"/>
    <w:rsid w:val="00CF2E37"/>
    <w:rsid w:val="00CF4493"/>
    <w:rsid w:val="00CF6D18"/>
    <w:rsid w:val="00CF6DFD"/>
    <w:rsid w:val="00CF7CC5"/>
    <w:rsid w:val="00D01B39"/>
    <w:rsid w:val="00D04966"/>
    <w:rsid w:val="00D05AA0"/>
    <w:rsid w:val="00D05C74"/>
    <w:rsid w:val="00D068E7"/>
    <w:rsid w:val="00D10F88"/>
    <w:rsid w:val="00D12178"/>
    <w:rsid w:val="00D13D2B"/>
    <w:rsid w:val="00D14513"/>
    <w:rsid w:val="00D14E91"/>
    <w:rsid w:val="00D1595C"/>
    <w:rsid w:val="00D16A2B"/>
    <w:rsid w:val="00D16F9A"/>
    <w:rsid w:val="00D17D63"/>
    <w:rsid w:val="00D204EE"/>
    <w:rsid w:val="00D205D0"/>
    <w:rsid w:val="00D212AA"/>
    <w:rsid w:val="00D22A5F"/>
    <w:rsid w:val="00D24CF5"/>
    <w:rsid w:val="00D25173"/>
    <w:rsid w:val="00D30B1B"/>
    <w:rsid w:val="00D3253D"/>
    <w:rsid w:val="00D329A0"/>
    <w:rsid w:val="00D339E3"/>
    <w:rsid w:val="00D3536D"/>
    <w:rsid w:val="00D36322"/>
    <w:rsid w:val="00D36617"/>
    <w:rsid w:val="00D37490"/>
    <w:rsid w:val="00D378F2"/>
    <w:rsid w:val="00D37A1F"/>
    <w:rsid w:val="00D41AC3"/>
    <w:rsid w:val="00D41D67"/>
    <w:rsid w:val="00D43D80"/>
    <w:rsid w:val="00D43D87"/>
    <w:rsid w:val="00D43DC2"/>
    <w:rsid w:val="00D446E8"/>
    <w:rsid w:val="00D4696D"/>
    <w:rsid w:val="00D477B0"/>
    <w:rsid w:val="00D503FF"/>
    <w:rsid w:val="00D5261E"/>
    <w:rsid w:val="00D56452"/>
    <w:rsid w:val="00D57D3A"/>
    <w:rsid w:val="00D64062"/>
    <w:rsid w:val="00D651C5"/>
    <w:rsid w:val="00D7013E"/>
    <w:rsid w:val="00D70B23"/>
    <w:rsid w:val="00D71CA2"/>
    <w:rsid w:val="00D71DF4"/>
    <w:rsid w:val="00D744F7"/>
    <w:rsid w:val="00D74995"/>
    <w:rsid w:val="00D749C1"/>
    <w:rsid w:val="00D81EBE"/>
    <w:rsid w:val="00D82246"/>
    <w:rsid w:val="00D83752"/>
    <w:rsid w:val="00D8629C"/>
    <w:rsid w:val="00D8732C"/>
    <w:rsid w:val="00D87D8C"/>
    <w:rsid w:val="00D901BA"/>
    <w:rsid w:val="00D90F6F"/>
    <w:rsid w:val="00D9123F"/>
    <w:rsid w:val="00D91F72"/>
    <w:rsid w:val="00D93F13"/>
    <w:rsid w:val="00D96201"/>
    <w:rsid w:val="00D97348"/>
    <w:rsid w:val="00DA0039"/>
    <w:rsid w:val="00DA23D5"/>
    <w:rsid w:val="00DA5227"/>
    <w:rsid w:val="00DA53B6"/>
    <w:rsid w:val="00DA5700"/>
    <w:rsid w:val="00DA77B0"/>
    <w:rsid w:val="00DA7F63"/>
    <w:rsid w:val="00DB06D3"/>
    <w:rsid w:val="00DB3D00"/>
    <w:rsid w:val="00DB73ED"/>
    <w:rsid w:val="00DC0A4E"/>
    <w:rsid w:val="00DC489A"/>
    <w:rsid w:val="00DC563C"/>
    <w:rsid w:val="00DC6112"/>
    <w:rsid w:val="00DC611D"/>
    <w:rsid w:val="00DC6F99"/>
    <w:rsid w:val="00DC757F"/>
    <w:rsid w:val="00DC772A"/>
    <w:rsid w:val="00DD0577"/>
    <w:rsid w:val="00DD0CD3"/>
    <w:rsid w:val="00DD26C8"/>
    <w:rsid w:val="00DD29D3"/>
    <w:rsid w:val="00DD2E58"/>
    <w:rsid w:val="00DD478F"/>
    <w:rsid w:val="00DD510A"/>
    <w:rsid w:val="00DD7661"/>
    <w:rsid w:val="00DE3716"/>
    <w:rsid w:val="00DE382D"/>
    <w:rsid w:val="00DE48E6"/>
    <w:rsid w:val="00DE4906"/>
    <w:rsid w:val="00DF290C"/>
    <w:rsid w:val="00DF58FD"/>
    <w:rsid w:val="00DF5EF2"/>
    <w:rsid w:val="00DF687F"/>
    <w:rsid w:val="00DF74EE"/>
    <w:rsid w:val="00DF77A3"/>
    <w:rsid w:val="00DF7E99"/>
    <w:rsid w:val="00E01E46"/>
    <w:rsid w:val="00E02B85"/>
    <w:rsid w:val="00E03A3E"/>
    <w:rsid w:val="00E04F03"/>
    <w:rsid w:val="00E05FBB"/>
    <w:rsid w:val="00E112B7"/>
    <w:rsid w:val="00E126B7"/>
    <w:rsid w:val="00E15542"/>
    <w:rsid w:val="00E16C3A"/>
    <w:rsid w:val="00E1770E"/>
    <w:rsid w:val="00E20516"/>
    <w:rsid w:val="00E21E98"/>
    <w:rsid w:val="00E225C9"/>
    <w:rsid w:val="00E266D7"/>
    <w:rsid w:val="00E3175A"/>
    <w:rsid w:val="00E32B42"/>
    <w:rsid w:val="00E33F18"/>
    <w:rsid w:val="00E35EC7"/>
    <w:rsid w:val="00E3634F"/>
    <w:rsid w:val="00E40C47"/>
    <w:rsid w:val="00E416FD"/>
    <w:rsid w:val="00E41BA6"/>
    <w:rsid w:val="00E431FD"/>
    <w:rsid w:val="00E43264"/>
    <w:rsid w:val="00E43A8E"/>
    <w:rsid w:val="00E446EF"/>
    <w:rsid w:val="00E4513F"/>
    <w:rsid w:val="00E51ED0"/>
    <w:rsid w:val="00E52B22"/>
    <w:rsid w:val="00E52BC3"/>
    <w:rsid w:val="00E535C2"/>
    <w:rsid w:val="00E54A6C"/>
    <w:rsid w:val="00E54DA4"/>
    <w:rsid w:val="00E56287"/>
    <w:rsid w:val="00E60065"/>
    <w:rsid w:val="00E6198A"/>
    <w:rsid w:val="00E62957"/>
    <w:rsid w:val="00E6304C"/>
    <w:rsid w:val="00E63966"/>
    <w:rsid w:val="00E63A6B"/>
    <w:rsid w:val="00E64DF5"/>
    <w:rsid w:val="00E67415"/>
    <w:rsid w:val="00E6748B"/>
    <w:rsid w:val="00E70A6C"/>
    <w:rsid w:val="00E712F4"/>
    <w:rsid w:val="00E71858"/>
    <w:rsid w:val="00E71E6A"/>
    <w:rsid w:val="00E73856"/>
    <w:rsid w:val="00E73F01"/>
    <w:rsid w:val="00E75A11"/>
    <w:rsid w:val="00E776D8"/>
    <w:rsid w:val="00E81A9C"/>
    <w:rsid w:val="00E81BCA"/>
    <w:rsid w:val="00E81ECF"/>
    <w:rsid w:val="00E829B9"/>
    <w:rsid w:val="00E83B4B"/>
    <w:rsid w:val="00E852B7"/>
    <w:rsid w:val="00E8634F"/>
    <w:rsid w:val="00E864F7"/>
    <w:rsid w:val="00E869B3"/>
    <w:rsid w:val="00E87F47"/>
    <w:rsid w:val="00E90EFB"/>
    <w:rsid w:val="00E964B0"/>
    <w:rsid w:val="00EA1445"/>
    <w:rsid w:val="00EA3956"/>
    <w:rsid w:val="00EA49BD"/>
    <w:rsid w:val="00EB2873"/>
    <w:rsid w:val="00EB2C68"/>
    <w:rsid w:val="00EB2F36"/>
    <w:rsid w:val="00EB2F86"/>
    <w:rsid w:val="00EB4AB1"/>
    <w:rsid w:val="00EB4ED7"/>
    <w:rsid w:val="00EB60B4"/>
    <w:rsid w:val="00EB6574"/>
    <w:rsid w:val="00EB6C85"/>
    <w:rsid w:val="00EB717C"/>
    <w:rsid w:val="00EB7990"/>
    <w:rsid w:val="00EB79DE"/>
    <w:rsid w:val="00EB7A29"/>
    <w:rsid w:val="00EC0316"/>
    <w:rsid w:val="00EC077E"/>
    <w:rsid w:val="00EC1207"/>
    <w:rsid w:val="00EC2707"/>
    <w:rsid w:val="00EC375B"/>
    <w:rsid w:val="00EC63C7"/>
    <w:rsid w:val="00ED00A3"/>
    <w:rsid w:val="00ED1BD2"/>
    <w:rsid w:val="00ED6BBF"/>
    <w:rsid w:val="00ED7727"/>
    <w:rsid w:val="00ED782F"/>
    <w:rsid w:val="00ED7E9F"/>
    <w:rsid w:val="00ED7F5F"/>
    <w:rsid w:val="00ED7FCF"/>
    <w:rsid w:val="00EE0209"/>
    <w:rsid w:val="00EE435F"/>
    <w:rsid w:val="00EF01E7"/>
    <w:rsid w:val="00EF41F3"/>
    <w:rsid w:val="00EF5E4A"/>
    <w:rsid w:val="00EF70AA"/>
    <w:rsid w:val="00EF7CF5"/>
    <w:rsid w:val="00F006BC"/>
    <w:rsid w:val="00F00F4D"/>
    <w:rsid w:val="00F021B6"/>
    <w:rsid w:val="00F021F9"/>
    <w:rsid w:val="00F02DA3"/>
    <w:rsid w:val="00F05B34"/>
    <w:rsid w:val="00F07A32"/>
    <w:rsid w:val="00F1191A"/>
    <w:rsid w:val="00F12767"/>
    <w:rsid w:val="00F12AD2"/>
    <w:rsid w:val="00F133CB"/>
    <w:rsid w:val="00F14319"/>
    <w:rsid w:val="00F14B4E"/>
    <w:rsid w:val="00F1760F"/>
    <w:rsid w:val="00F2008E"/>
    <w:rsid w:val="00F2065F"/>
    <w:rsid w:val="00F20900"/>
    <w:rsid w:val="00F2411A"/>
    <w:rsid w:val="00F278D7"/>
    <w:rsid w:val="00F27DA9"/>
    <w:rsid w:val="00F30DA0"/>
    <w:rsid w:val="00F31B77"/>
    <w:rsid w:val="00F335EB"/>
    <w:rsid w:val="00F3457A"/>
    <w:rsid w:val="00F346D4"/>
    <w:rsid w:val="00F346D8"/>
    <w:rsid w:val="00F359CA"/>
    <w:rsid w:val="00F365F8"/>
    <w:rsid w:val="00F40B11"/>
    <w:rsid w:val="00F41DE0"/>
    <w:rsid w:val="00F424AC"/>
    <w:rsid w:val="00F42C95"/>
    <w:rsid w:val="00F44E0E"/>
    <w:rsid w:val="00F45763"/>
    <w:rsid w:val="00F4612C"/>
    <w:rsid w:val="00F46266"/>
    <w:rsid w:val="00F46BC7"/>
    <w:rsid w:val="00F50B91"/>
    <w:rsid w:val="00F50F91"/>
    <w:rsid w:val="00F5186D"/>
    <w:rsid w:val="00F54AD6"/>
    <w:rsid w:val="00F60091"/>
    <w:rsid w:val="00F6393C"/>
    <w:rsid w:val="00F63C11"/>
    <w:rsid w:val="00F63DBE"/>
    <w:rsid w:val="00F65C35"/>
    <w:rsid w:val="00F73BB2"/>
    <w:rsid w:val="00F74433"/>
    <w:rsid w:val="00F74516"/>
    <w:rsid w:val="00F75562"/>
    <w:rsid w:val="00F76383"/>
    <w:rsid w:val="00F77196"/>
    <w:rsid w:val="00F81413"/>
    <w:rsid w:val="00F81D53"/>
    <w:rsid w:val="00F82C02"/>
    <w:rsid w:val="00F83918"/>
    <w:rsid w:val="00F8610D"/>
    <w:rsid w:val="00F872B7"/>
    <w:rsid w:val="00F90381"/>
    <w:rsid w:val="00F9112C"/>
    <w:rsid w:val="00F93607"/>
    <w:rsid w:val="00F9532A"/>
    <w:rsid w:val="00F96CE9"/>
    <w:rsid w:val="00FA2FBE"/>
    <w:rsid w:val="00FA341E"/>
    <w:rsid w:val="00FA3D5A"/>
    <w:rsid w:val="00FA58A7"/>
    <w:rsid w:val="00FB27F8"/>
    <w:rsid w:val="00FB326C"/>
    <w:rsid w:val="00FB6CA4"/>
    <w:rsid w:val="00FC03FA"/>
    <w:rsid w:val="00FC1B58"/>
    <w:rsid w:val="00FC62E6"/>
    <w:rsid w:val="00FC71F9"/>
    <w:rsid w:val="00FD0AB4"/>
    <w:rsid w:val="00FD108B"/>
    <w:rsid w:val="00FD17AB"/>
    <w:rsid w:val="00FD35EB"/>
    <w:rsid w:val="00FD5ED0"/>
    <w:rsid w:val="00FD66EF"/>
    <w:rsid w:val="00FE04DF"/>
    <w:rsid w:val="00FE0F32"/>
    <w:rsid w:val="00FE14AE"/>
    <w:rsid w:val="00FE1CF0"/>
    <w:rsid w:val="00FE518A"/>
    <w:rsid w:val="00FE559D"/>
    <w:rsid w:val="00FE63EC"/>
    <w:rsid w:val="00FE6550"/>
    <w:rsid w:val="00FE6C2F"/>
    <w:rsid w:val="00FF032C"/>
    <w:rsid w:val="00FF0E70"/>
    <w:rsid w:val="00FF10FF"/>
    <w:rsid w:val="00FF3B92"/>
    <w:rsid w:val="00FF5757"/>
    <w:rsid w:val="00FF70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0305B"/>
  <w15:docId w15:val="{FEC3B5F0-63A8-43D7-821D-DCCA1568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ectionHeading,Chapter Heading,Savell Bird..,Section Heading,Chapter,Chapter head,L1,CH,. (1.0),Do Not Use,Heading 1 - chapter,H1,H11,H12,Heading,Chapter1,Chapter2,Oscar Faber 1,Numbered 1,TITLE 1,Chapter Title,Section,Chapter Hdg,ADVICE 1,h1"/>
    <w:basedOn w:val="Normal"/>
    <w:next w:val="Heading2"/>
    <w:link w:val="Heading1Char"/>
    <w:uiPriority w:val="2"/>
    <w:qFormat/>
    <w:rsid w:val="00543EFB"/>
    <w:pPr>
      <w:keepNext/>
      <w:keepLines/>
      <w:pageBreakBefore/>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tabs>
        <w:tab w:val="num" w:pos="1134"/>
      </w:tabs>
      <w:spacing w:before="240" w:after="240"/>
      <w:ind w:left="720" w:hanging="720"/>
      <w:outlineLvl w:val="0"/>
    </w:pPr>
    <w:rPr>
      <w:rFonts w:ascii="Arial" w:hAnsi="Arial" w:cs="Arial"/>
      <w:b/>
      <w:bCs/>
      <w:color w:val="ED7000"/>
      <w:sz w:val="36"/>
      <w:szCs w:val="28"/>
    </w:rPr>
  </w:style>
  <w:style w:type="paragraph" w:styleId="Heading2">
    <w:name w:val="heading 2"/>
    <w:basedOn w:val="Normal"/>
    <w:next w:val="Normal"/>
    <w:link w:val="Heading2Char"/>
    <w:uiPriority w:val="1"/>
    <w:unhideWhenUsed/>
    <w:qFormat/>
    <w:rsid w:val="004B1E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1D9"/>
    <w:pPr>
      <w:tabs>
        <w:tab w:val="center" w:pos="4320"/>
        <w:tab w:val="right" w:pos="8640"/>
      </w:tabs>
    </w:pPr>
  </w:style>
  <w:style w:type="paragraph" w:styleId="Footer">
    <w:name w:val="footer"/>
    <w:basedOn w:val="Normal"/>
    <w:rsid w:val="00AF31D9"/>
    <w:pPr>
      <w:tabs>
        <w:tab w:val="center" w:pos="4320"/>
        <w:tab w:val="right" w:pos="8640"/>
      </w:tabs>
    </w:pPr>
  </w:style>
  <w:style w:type="character" w:styleId="Hyperlink">
    <w:name w:val="Hyperlink"/>
    <w:basedOn w:val="DefaultParagraphFont"/>
    <w:rsid w:val="00AF31D9"/>
    <w:rPr>
      <w:color w:val="0000FF"/>
      <w:u w:val="single"/>
    </w:rPr>
  </w:style>
  <w:style w:type="table" w:styleId="TableGrid">
    <w:name w:val="Table Grid"/>
    <w:basedOn w:val="TableNormal"/>
    <w:rsid w:val="0027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ssueRecord">
    <w:name w:val="Doc Issue Record"/>
    <w:basedOn w:val="Normal"/>
    <w:link w:val="DocIssueRecordChar"/>
    <w:qFormat/>
    <w:rsid w:val="00C4440C"/>
    <w:pPr>
      <w:spacing w:before="40"/>
      <w:jc w:val="center"/>
    </w:pPr>
    <w:rPr>
      <w:rFonts w:ascii="Arial" w:hAnsi="Arial"/>
      <w:sz w:val="16"/>
      <w:szCs w:val="16"/>
    </w:rPr>
  </w:style>
  <w:style w:type="character" w:customStyle="1" w:styleId="DocIssueRecordChar">
    <w:name w:val="Doc Issue Record Char"/>
    <w:link w:val="DocIssueRecord"/>
    <w:rsid w:val="00C4440C"/>
    <w:rPr>
      <w:rFonts w:ascii="Arial" w:hAnsi="Arial"/>
      <w:sz w:val="16"/>
      <w:szCs w:val="16"/>
      <w:lang w:eastAsia="en-US"/>
    </w:rPr>
  </w:style>
  <w:style w:type="paragraph" w:styleId="ListParagraph">
    <w:name w:val="List Paragraph"/>
    <w:basedOn w:val="Normal"/>
    <w:uiPriority w:val="34"/>
    <w:qFormat/>
    <w:rsid w:val="00424028"/>
    <w:pPr>
      <w:ind w:left="720"/>
      <w:contextualSpacing/>
    </w:pPr>
  </w:style>
  <w:style w:type="paragraph" w:customStyle="1" w:styleId="Chromasubheadingnumbered">
    <w:name w:val="Chroma sub heading numbered"/>
    <w:basedOn w:val="Heading2"/>
    <w:link w:val="ChromasubheadingnumberedChar"/>
    <w:autoRedefine/>
    <w:uiPriority w:val="99"/>
    <w:qFormat/>
    <w:rsid w:val="009F274E"/>
    <w:pPr>
      <w:numPr>
        <w:numId w:val="14"/>
      </w:numPr>
      <w:spacing w:before="240" w:after="240"/>
      <w:ind w:left="567" w:hanging="567"/>
    </w:pPr>
    <w:rPr>
      <w:rFonts w:ascii="Arial Bold" w:hAnsi="Arial Bold" w:cs="Arial"/>
      <w:b/>
      <w:color w:val="1BA3B1"/>
      <w:sz w:val="24"/>
      <w:szCs w:val="28"/>
    </w:rPr>
  </w:style>
  <w:style w:type="character" w:customStyle="1" w:styleId="ChromasubheadingnumberedChar">
    <w:name w:val="Chroma sub heading numbered Char"/>
    <w:basedOn w:val="Heading2Char"/>
    <w:link w:val="Chromasubheadingnumbered"/>
    <w:uiPriority w:val="99"/>
    <w:rsid w:val="009F274E"/>
    <w:rPr>
      <w:rFonts w:ascii="Arial Bold" w:eastAsiaTheme="majorEastAsia" w:hAnsi="Arial Bold" w:cs="Arial"/>
      <w:b/>
      <w:color w:val="1BA3B1"/>
      <w:sz w:val="24"/>
      <w:szCs w:val="28"/>
      <w:lang w:eastAsia="en-US"/>
    </w:rPr>
  </w:style>
  <w:style w:type="character" w:customStyle="1" w:styleId="Heading2Char">
    <w:name w:val="Heading 2 Char"/>
    <w:basedOn w:val="DefaultParagraphFont"/>
    <w:link w:val="Heading2"/>
    <w:semiHidden/>
    <w:rsid w:val="004B1E18"/>
    <w:rPr>
      <w:rFonts w:asciiTheme="majorHAnsi" w:eastAsiaTheme="majorEastAsia" w:hAnsiTheme="majorHAnsi" w:cstheme="majorBidi"/>
      <w:color w:val="365F91" w:themeColor="accent1" w:themeShade="BF"/>
      <w:sz w:val="26"/>
      <w:szCs w:val="26"/>
      <w:lang w:eastAsia="en-US"/>
    </w:rPr>
  </w:style>
  <w:style w:type="character" w:customStyle="1" w:styleId="HeaderChar">
    <w:name w:val="Header Char"/>
    <w:basedOn w:val="DefaultParagraphFont"/>
    <w:link w:val="Header"/>
    <w:rsid w:val="004B1E18"/>
    <w:rPr>
      <w:sz w:val="24"/>
      <w:szCs w:val="24"/>
      <w:lang w:eastAsia="en-US"/>
    </w:rPr>
  </w:style>
  <w:style w:type="paragraph" w:customStyle="1" w:styleId="ChromaParagraph">
    <w:name w:val="Chroma Paragraph"/>
    <w:basedOn w:val="Normal"/>
    <w:link w:val="ChromaParagraphChar"/>
    <w:autoRedefine/>
    <w:uiPriority w:val="99"/>
    <w:qFormat/>
    <w:rsid w:val="00093434"/>
    <w:pPr>
      <w:numPr>
        <w:numId w:val="5"/>
      </w:numPr>
      <w:spacing w:after="240"/>
    </w:pPr>
    <w:rPr>
      <w:rFonts w:ascii="Arial" w:eastAsia="Calibri" w:hAnsi="Arial"/>
      <w:color w:val="000000" w:themeColor="text1"/>
      <w:sz w:val="20"/>
      <w:szCs w:val="22"/>
    </w:rPr>
  </w:style>
  <w:style w:type="character" w:customStyle="1" w:styleId="ChromaParagraphChar">
    <w:name w:val="Chroma Paragraph Char"/>
    <w:basedOn w:val="DefaultParagraphFont"/>
    <w:link w:val="ChromaParagraph"/>
    <w:uiPriority w:val="99"/>
    <w:rsid w:val="00093434"/>
    <w:rPr>
      <w:rFonts w:ascii="Arial" w:eastAsia="Calibri" w:hAnsi="Arial"/>
      <w:color w:val="000000" w:themeColor="text1"/>
      <w:szCs w:val="22"/>
      <w:lang w:eastAsia="en-US"/>
    </w:rPr>
  </w:style>
  <w:style w:type="paragraph" w:styleId="NormalWeb">
    <w:name w:val="Normal (Web)"/>
    <w:basedOn w:val="Normal"/>
    <w:uiPriority w:val="99"/>
    <w:semiHidden/>
    <w:unhideWhenUsed/>
    <w:rsid w:val="0020681B"/>
    <w:pPr>
      <w:spacing w:before="100" w:beforeAutospacing="1" w:after="100" w:afterAutospacing="1"/>
    </w:pPr>
    <w:rPr>
      <w:rFonts w:ascii="Calibri" w:eastAsiaTheme="minorHAnsi" w:hAnsi="Calibri" w:cs="Calibri"/>
      <w:sz w:val="22"/>
      <w:szCs w:val="22"/>
      <w:lang w:eastAsia="en-GB"/>
    </w:rPr>
  </w:style>
  <w:style w:type="table" w:customStyle="1" w:styleId="TableGrid1">
    <w:name w:val="Table Grid1"/>
    <w:basedOn w:val="TableNormal"/>
    <w:next w:val="TableGrid"/>
    <w:uiPriority w:val="39"/>
    <w:rsid w:val="00A416F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Heading Char,Chapter Heading Char,Savell Bird.. Char,Section Heading Char,Chapter Char,Chapter head Char,L1 Char,CH Char,. (1.0) Char,Do Not Use Char,Heading 1 - chapter Char,H1 Char,H11 Char,H12 Char,Heading Char,Chapter1 Char"/>
    <w:basedOn w:val="DefaultParagraphFont"/>
    <w:link w:val="Heading1"/>
    <w:uiPriority w:val="2"/>
    <w:rsid w:val="00543EFB"/>
    <w:rPr>
      <w:rFonts w:ascii="Arial" w:hAnsi="Arial" w:cs="Arial"/>
      <w:b/>
      <w:bCs/>
      <w:color w:val="ED7000"/>
      <w:sz w:val="36"/>
      <w:szCs w:val="28"/>
      <w:lang w:eastAsia="en-US"/>
    </w:rPr>
  </w:style>
  <w:style w:type="paragraph" w:customStyle="1" w:styleId="NumberedParagraph">
    <w:name w:val="Numbered Paragraph"/>
    <w:basedOn w:val="Normal"/>
    <w:uiPriority w:val="2"/>
    <w:qFormat/>
    <w:rsid w:val="00543EFB"/>
    <w:pPr>
      <w:tabs>
        <w:tab w:val="num" w:pos="1134"/>
      </w:tabs>
      <w:spacing w:after="240"/>
      <w:ind w:left="720" w:hanging="720"/>
    </w:pPr>
    <w:rPr>
      <w:rFonts w:ascii="Arial" w:eastAsia="Calibri" w:hAnsi="Arial"/>
      <w:color w:val="191919"/>
      <w:sz w:val="20"/>
      <w:szCs w:val="22"/>
    </w:rPr>
  </w:style>
  <w:style w:type="paragraph" w:customStyle="1" w:styleId="Bullets-Alpha">
    <w:name w:val="Bullets - Alpha"/>
    <w:basedOn w:val="Normal"/>
    <w:uiPriority w:val="4"/>
    <w:qFormat/>
    <w:rsid w:val="00543EFB"/>
    <w:pPr>
      <w:tabs>
        <w:tab w:val="num" w:pos="1134"/>
      </w:tabs>
      <w:spacing w:after="240"/>
      <w:ind w:left="720" w:hanging="720"/>
    </w:pPr>
    <w:rPr>
      <w:rFonts w:ascii="Arial" w:eastAsia="Calibri" w:hAnsi="Arial"/>
      <w:color w:val="191919"/>
      <w:sz w:val="20"/>
      <w:szCs w:val="22"/>
    </w:rPr>
  </w:style>
  <w:style w:type="paragraph" w:styleId="FootnoteText">
    <w:name w:val="footnote text"/>
    <w:basedOn w:val="Normal"/>
    <w:link w:val="FootnoteTextChar"/>
    <w:semiHidden/>
    <w:unhideWhenUsed/>
    <w:rsid w:val="00B92E3F"/>
    <w:rPr>
      <w:sz w:val="20"/>
      <w:szCs w:val="20"/>
    </w:rPr>
  </w:style>
  <w:style w:type="character" w:customStyle="1" w:styleId="FootnoteTextChar">
    <w:name w:val="Footnote Text Char"/>
    <w:basedOn w:val="DefaultParagraphFont"/>
    <w:link w:val="FootnoteText"/>
    <w:semiHidden/>
    <w:rsid w:val="00B92E3F"/>
    <w:rPr>
      <w:lang w:eastAsia="en-US"/>
    </w:rPr>
  </w:style>
  <w:style w:type="character" w:styleId="FootnoteReference">
    <w:name w:val="footnote reference"/>
    <w:basedOn w:val="DefaultParagraphFont"/>
    <w:semiHidden/>
    <w:unhideWhenUsed/>
    <w:rsid w:val="00B92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9650">
      <w:bodyDiv w:val="1"/>
      <w:marLeft w:val="0"/>
      <w:marRight w:val="0"/>
      <w:marTop w:val="0"/>
      <w:marBottom w:val="0"/>
      <w:divBdr>
        <w:top w:val="none" w:sz="0" w:space="0" w:color="auto"/>
        <w:left w:val="none" w:sz="0" w:space="0" w:color="auto"/>
        <w:bottom w:val="none" w:sz="0" w:space="0" w:color="auto"/>
        <w:right w:val="none" w:sz="0" w:space="0" w:color="auto"/>
      </w:divBdr>
    </w:div>
    <w:div w:id="337737809">
      <w:bodyDiv w:val="1"/>
      <w:marLeft w:val="0"/>
      <w:marRight w:val="0"/>
      <w:marTop w:val="0"/>
      <w:marBottom w:val="0"/>
      <w:divBdr>
        <w:top w:val="none" w:sz="0" w:space="0" w:color="auto"/>
        <w:left w:val="none" w:sz="0" w:space="0" w:color="auto"/>
        <w:bottom w:val="none" w:sz="0" w:space="0" w:color="auto"/>
        <w:right w:val="none" w:sz="0" w:space="0" w:color="auto"/>
      </w:divBdr>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5684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o\OneDrive\Documents\Admin\Templates\Technical%20No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5cfabe-926a-4402-8ff7-6ddf7830bfb5">
      <Terms xmlns="http://schemas.microsoft.com/office/infopath/2007/PartnerControls"/>
    </lcf76f155ced4ddcb4097134ff3c332f>
    <TaxCatchAll xmlns="7c3c604d-d51c-4a4f-9a45-f40341a754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C47D029C6EEB49A4930533CC6BD914" ma:contentTypeVersion="13" ma:contentTypeDescription="Create a new document." ma:contentTypeScope="" ma:versionID="ddeb21e5f368b237f514a96c1f421188">
  <xsd:schema xmlns:xsd="http://www.w3.org/2001/XMLSchema" xmlns:xs="http://www.w3.org/2001/XMLSchema" xmlns:p="http://schemas.microsoft.com/office/2006/metadata/properties" xmlns:ns2="a25cfabe-926a-4402-8ff7-6ddf7830bfb5" xmlns:ns3="7c3c604d-d51c-4a4f-9a45-f40341a75443" targetNamespace="http://schemas.microsoft.com/office/2006/metadata/properties" ma:root="true" ma:fieldsID="e55f200a9a9d208669a38d3b73ac97c9" ns2:_="" ns3:_="">
    <xsd:import namespace="a25cfabe-926a-4402-8ff7-6ddf7830bfb5"/>
    <xsd:import namespace="7c3c604d-d51c-4a4f-9a45-f40341a754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cfabe-926a-4402-8ff7-6ddf7830b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02e38-297d-42f1-ab02-bc46371937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c604d-d51c-4a4f-9a45-f40341a754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796dbd-aa1a-4a61-8fd9-478d99d1c77a}" ma:internalName="TaxCatchAll" ma:showField="CatchAllData" ma:web="7c3c604d-d51c-4a4f-9a45-f40341a75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D844-CECA-4FBC-BFDC-6FFA9A588897}">
  <ds:schemaRefs>
    <ds:schemaRef ds:uri="http://schemas.microsoft.com/office/2006/metadata/properties"/>
    <ds:schemaRef ds:uri="http://schemas.microsoft.com/office/infopath/2007/PartnerControls"/>
    <ds:schemaRef ds:uri="a25cfabe-926a-4402-8ff7-6ddf7830bfb5"/>
    <ds:schemaRef ds:uri="7c3c604d-d51c-4a4f-9a45-f40341a75443"/>
  </ds:schemaRefs>
</ds:datastoreItem>
</file>

<file path=customXml/itemProps2.xml><?xml version="1.0" encoding="utf-8"?>
<ds:datastoreItem xmlns:ds="http://schemas.openxmlformats.org/officeDocument/2006/customXml" ds:itemID="{56718952-FD2A-4C2C-AD4E-A6FD496CEE58}">
  <ds:schemaRefs>
    <ds:schemaRef ds:uri="http://schemas.microsoft.com/sharepoint/v3/contenttype/forms"/>
  </ds:schemaRefs>
</ds:datastoreItem>
</file>

<file path=customXml/itemProps3.xml><?xml version="1.0" encoding="utf-8"?>
<ds:datastoreItem xmlns:ds="http://schemas.openxmlformats.org/officeDocument/2006/customXml" ds:itemID="{EF9C21D2-CE42-46E2-8901-AF44C2146CBF}">
  <ds:schemaRefs>
    <ds:schemaRef ds:uri="http://schemas.openxmlformats.org/officeDocument/2006/bibliography"/>
  </ds:schemaRefs>
</ds:datastoreItem>
</file>

<file path=customXml/itemProps4.xml><?xml version="1.0" encoding="utf-8"?>
<ds:datastoreItem xmlns:ds="http://schemas.openxmlformats.org/officeDocument/2006/customXml" ds:itemID="{BDF2E5BC-BADB-4847-8236-3AB159B0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cfabe-926a-4402-8ff7-6ddf7830bfb5"/>
    <ds:schemaRef ds:uri="7c3c604d-d51c-4a4f-9a45-f40341a7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Note</Template>
  <TotalTime>10</TotalTime>
  <Pages>6</Pages>
  <Words>2562</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Meeting Title:</vt:lpstr>
    </vt:vector>
  </TitlesOfParts>
  <Company>Peter Brett Associates</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creator>samso</dc:creator>
  <cp:lastModifiedBy>Hannah Bizoumis</cp:lastModifiedBy>
  <cp:revision>15</cp:revision>
  <cp:lastPrinted>2024-05-17T10:13:00Z</cp:lastPrinted>
  <dcterms:created xsi:type="dcterms:W3CDTF">2024-06-25T09:31:00Z</dcterms:created>
  <dcterms:modified xsi:type="dcterms:W3CDTF">2024-06-25T09:40:00Z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0x0101003FC47D029C6EEB49A4930533CC6BD914</vt:lpwstr>
  </property>
  <property fmtid="{D5CDD505-2E9C-101B-9397-08002B2CF9AE}" pid="3" name="MediaServiceImageTags">
    <vt:lpwstr/>
  </property>
</Properties>
</file>