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5297" w14:textId="77777777" w:rsidR="00B17462" w:rsidRPr="00F142BD" w:rsidRDefault="00B17462" w:rsidP="00E76689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F142BD">
        <w:rPr>
          <w:b/>
          <w:bCs/>
          <w:color w:val="C00000"/>
          <w:sz w:val="24"/>
          <w:szCs w:val="24"/>
        </w:rPr>
        <w:t>GAIL WALDMAN</w:t>
      </w:r>
    </w:p>
    <w:p w14:paraId="17A45A20" w14:textId="52F11218" w:rsidR="000D23F0" w:rsidRPr="00F142BD" w:rsidRDefault="00B17462" w:rsidP="004709FA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F142BD">
        <w:rPr>
          <w:b/>
          <w:bCs/>
          <w:color w:val="C00000"/>
          <w:sz w:val="24"/>
          <w:szCs w:val="24"/>
        </w:rPr>
        <w:t>48 CROMWELL AVENUE</w:t>
      </w:r>
    </w:p>
    <w:p w14:paraId="3E64604F" w14:textId="763CDAD7" w:rsidR="00B17462" w:rsidRPr="00F142BD" w:rsidRDefault="00B17462" w:rsidP="00F142BD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F142BD">
        <w:rPr>
          <w:b/>
          <w:bCs/>
          <w:color w:val="C00000"/>
          <w:sz w:val="24"/>
          <w:szCs w:val="24"/>
        </w:rPr>
        <w:t>L</w:t>
      </w:r>
      <w:r w:rsidR="000D23F0" w:rsidRPr="00F142BD">
        <w:rPr>
          <w:b/>
          <w:bCs/>
          <w:color w:val="C00000"/>
          <w:sz w:val="24"/>
          <w:szCs w:val="24"/>
        </w:rPr>
        <w:t>ONDON</w:t>
      </w:r>
      <w:r w:rsidRPr="00F142BD">
        <w:rPr>
          <w:b/>
          <w:bCs/>
          <w:color w:val="C00000"/>
          <w:sz w:val="24"/>
          <w:szCs w:val="24"/>
        </w:rPr>
        <w:t xml:space="preserve"> N6</w:t>
      </w:r>
      <w:r w:rsidR="000D23F0" w:rsidRPr="00F142BD">
        <w:rPr>
          <w:b/>
          <w:bCs/>
          <w:color w:val="C00000"/>
          <w:sz w:val="24"/>
          <w:szCs w:val="24"/>
        </w:rPr>
        <w:t xml:space="preserve"> 5HL</w:t>
      </w:r>
    </w:p>
    <w:p w14:paraId="44382D44" w14:textId="77777777" w:rsidR="000D23F0" w:rsidRDefault="000D23F0" w:rsidP="000D23F0">
      <w:pPr>
        <w:spacing w:after="0" w:line="240" w:lineRule="auto"/>
        <w:jc w:val="center"/>
        <w:rPr>
          <w:b/>
          <w:bCs/>
          <w:color w:val="C00000"/>
        </w:rPr>
      </w:pPr>
    </w:p>
    <w:p w14:paraId="0DD03D5C" w14:textId="34D069ED" w:rsidR="000D23F0" w:rsidRDefault="000D23F0" w:rsidP="000D23F0">
      <w:pPr>
        <w:spacing w:after="0" w:line="240" w:lineRule="auto"/>
        <w:rPr>
          <w:color w:val="C00000"/>
        </w:rPr>
      </w:pPr>
      <w:r>
        <w:rPr>
          <w:color w:val="C00000"/>
        </w:rPr>
        <w:tab/>
      </w:r>
      <w:r w:rsidRPr="000D23F0">
        <w:t>29 April 2024</w:t>
      </w:r>
    </w:p>
    <w:p w14:paraId="7BEE8A8B" w14:textId="7617E59A" w:rsidR="000D23F0" w:rsidRDefault="000D23F0" w:rsidP="000D23F0">
      <w:pPr>
        <w:spacing w:after="0" w:line="240" w:lineRule="auto"/>
        <w:ind w:firstLine="720"/>
      </w:pPr>
      <w:r w:rsidRPr="000D23F0">
        <w:t>Edward</w:t>
      </w:r>
      <w:r>
        <w:t xml:space="preserve"> Hodgson</w:t>
      </w:r>
    </w:p>
    <w:p w14:paraId="5460F43F" w14:textId="1DCFBB5C" w:rsidR="000D23F0" w:rsidRDefault="000D23F0" w:rsidP="000D23F0">
      <w:pPr>
        <w:spacing w:after="0" w:line="240" w:lineRule="auto"/>
      </w:pPr>
      <w:r>
        <w:tab/>
        <w:t>Planning Dept.</w:t>
      </w:r>
    </w:p>
    <w:p w14:paraId="2E2553CB" w14:textId="412B7E64" w:rsidR="000D23F0" w:rsidRDefault="000D23F0" w:rsidP="000D23F0">
      <w:pPr>
        <w:spacing w:after="0" w:line="240" w:lineRule="auto"/>
      </w:pPr>
      <w:r>
        <w:tab/>
        <w:t>Camden Council</w:t>
      </w:r>
    </w:p>
    <w:p w14:paraId="3DD02B3F" w14:textId="77777777" w:rsidR="000D23F0" w:rsidRDefault="000D23F0" w:rsidP="000D23F0">
      <w:pPr>
        <w:spacing w:after="0" w:line="240" w:lineRule="auto"/>
        <w:ind w:firstLine="720"/>
      </w:pPr>
    </w:p>
    <w:p w14:paraId="5F5F2C72" w14:textId="117482F2" w:rsidR="000D23F0" w:rsidRPr="000D23F0" w:rsidRDefault="000D23F0" w:rsidP="000D23F0">
      <w:pPr>
        <w:spacing w:after="0" w:line="240" w:lineRule="auto"/>
        <w:ind w:firstLine="720"/>
        <w:rPr>
          <w:u w:val="single"/>
        </w:rPr>
      </w:pPr>
      <w:r>
        <w:t>By email only</w:t>
      </w:r>
    </w:p>
    <w:p w14:paraId="53569E47" w14:textId="77777777" w:rsidR="000D23F0" w:rsidRDefault="000D23F0" w:rsidP="000D23F0">
      <w:pPr>
        <w:spacing w:after="0" w:line="240" w:lineRule="auto"/>
        <w:ind w:firstLine="720"/>
      </w:pPr>
    </w:p>
    <w:p w14:paraId="43232515" w14:textId="77777777" w:rsidR="00AA42C9" w:rsidRDefault="00AA42C9" w:rsidP="000D23F0">
      <w:pPr>
        <w:spacing w:after="0" w:line="240" w:lineRule="auto"/>
        <w:ind w:firstLine="720"/>
      </w:pPr>
    </w:p>
    <w:p w14:paraId="3184DF4D" w14:textId="77777777" w:rsidR="000D23F0" w:rsidRDefault="000D23F0" w:rsidP="000D23F0">
      <w:pPr>
        <w:spacing w:after="0" w:line="240" w:lineRule="auto"/>
        <w:ind w:firstLine="720"/>
      </w:pPr>
    </w:p>
    <w:p w14:paraId="6D3A0506" w14:textId="5AE1E21B" w:rsidR="000D23F0" w:rsidRDefault="000D23F0" w:rsidP="000D23F0">
      <w:pPr>
        <w:spacing w:after="0" w:line="240" w:lineRule="auto"/>
        <w:ind w:firstLine="720"/>
      </w:pPr>
      <w:r>
        <w:t>Dear Edward,</w:t>
      </w:r>
    </w:p>
    <w:p w14:paraId="30F6C3E8" w14:textId="77777777" w:rsidR="000D23F0" w:rsidRDefault="000D23F0" w:rsidP="000D23F0">
      <w:pPr>
        <w:spacing w:after="0" w:line="240" w:lineRule="auto"/>
        <w:ind w:firstLine="720"/>
      </w:pPr>
    </w:p>
    <w:p w14:paraId="286E449C" w14:textId="0CB444BD" w:rsidR="000D23F0" w:rsidRPr="000D23F0" w:rsidRDefault="000D23F0" w:rsidP="000D23F0">
      <w:pPr>
        <w:spacing w:after="0" w:line="240" w:lineRule="auto"/>
        <w:ind w:firstLine="720"/>
        <w:rPr>
          <w:color w:val="C00000"/>
          <w:u w:val="single"/>
        </w:rPr>
      </w:pPr>
      <w:r w:rsidRPr="000D23F0">
        <w:rPr>
          <w:u w:val="single"/>
        </w:rPr>
        <w:t xml:space="preserve">2024/0012/P: 194 </w:t>
      </w:r>
      <w:proofErr w:type="spellStart"/>
      <w:r w:rsidRPr="000D23F0">
        <w:rPr>
          <w:u w:val="single"/>
        </w:rPr>
        <w:t>Goldhurst</w:t>
      </w:r>
      <w:proofErr w:type="spellEnd"/>
      <w:r w:rsidRPr="000D23F0">
        <w:rPr>
          <w:u w:val="single"/>
        </w:rPr>
        <w:t xml:space="preserve"> Terrace</w:t>
      </w:r>
    </w:p>
    <w:p w14:paraId="727622D0" w14:textId="238C9A5F" w:rsidR="00B17462" w:rsidRDefault="00B17462" w:rsidP="00B17462">
      <w:pPr>
        <w:spacing w:before="120" w:after="120" w:line="120" w:lineRule="auto"/>
        <w:contextualSpacing/>
        <w:jc w:val="center"/>
        <w:rPr>
          <w:b/>
          <w:bCs/>
          <w:color w:val="C00000"/>
        </w:rPr>
      </w:pPr>
    </w:p>
    <w:p w14:paraId="5B80C38D" w14:textId="77777777" w:rsidR="000D23F0" w:rsidRDefault="000D23F0" w:rsidP="00B17462">
      <w:pPr>
        <w:spacing w:before="120" w:after="120" w:line="120" w:lineRule="auto"/>
        <w:contextualSpacing/>
        <w:jc w:val="center"/>
        <w:rPr>
          <w:b/>
          <w:bCs/>
          <w:color w:val="C00000"/>
        </w:rPr>
      </w:pPr>
    </w:p>
    <w:p w14:paraId="667A4454" w14:textId="61237922" w:rsidR="000D23F0" w:rsidRDefault="000D23F0" w:rsidP="000D23F0">
      <w:pPr>
        <w:ind w:left="720"/>
      </w:pPr>
      <w:r>
        <w:t xml:space="preserve">I see that additional documentation was placed online about two weeks ago regarding the Flood Risk </w:t>
      </w:r>
      <w:r w:rsidR="00ED00D0">
        <w:t xml:space="preserve">Assessment </w:t>
      </w:r>
      <w:r>
        <w:t>and a revised BIA.</w:t>
      </w:r>
    </w:p>
    <w:p w14:paraId="27F14B68" w14:textId="77777777" w:rsidR="000D23F0" w:rsidRPr="000D23F0" w:rsidRDefault="000D23F0" w:rsidP="000D23F0">
      <w:pPr>
        <w:ind w:firstLine="720"/>
        <w:rPr>
          <w:u w:val="single"/>
        </w:rPr>
      </w:pPr>
      <w:r>
        <w:t>I have the following comments:</w:t>
      </w:r>
      <w:r w:rsidRPr="000D23F0">
        <w:rPr>
          <w:u w:val="single"/>
        </w:rPr>
        <w:t xml:space="preserve"> </w:t>
      </w:r>
    </w:p>
    <w:p w14:paraId="05B66AF7" w14:textId="6546F7E0" w:rsidR="000D23F0" w:rsidRPr="000D23F0" w:rsidRDefault="000D23F0" w:rsidP="00F578EE">
      <w:pPr>
        <w:pStyle w:val="ListParagraph"/>
        <w:numPr>
          <w:ilvl w:val="0"/>
          <w:numId w:val="3"/>
        </w:numPr>
        <w:jc w:val="both"/>
        <w:rPr>
          <w:u w:val="single"/>
        </w:rPr>
      </w:pPr>
      <w:r w:rsidRPr="000D23F0">
        <w:rPr>
          <w:u w:val="single"/>
        </w:rPr>
        <w:t>BIA</w:t>
      </w:r>
    </w:p>
    <w:p w14:paraId="231E65CF" w14:textId="64311958" w:rsidR="000D23F0" w:rsidRDefault="000D23F0" w:rsidP="000D23F0">
      <w:pPr>
        <w:pStyle w:val="ListParagraph"/>
        <w:numPr>
          <w:ilvl w:val="1"/>
          <w:numId w:val="1"/>
        </w:numPr>
      </w:pPr>
      <w:r>
        <w:t>My first email regarding this application pointed out that the root protection areas o</w:t>
      </w:r>
      <w:r w:rsidR="006F0BCF">
        <w:t>f</w:t>
      </w:r>
      <w:r>
        <w:t xml:space="preserve"> trees on neighbours’ land needed to be shown. This information has still not been provided.</w:t>
      </w:r>
    </w:p>
    <w:p w14:paraId="513F8981" w14:textId="1D3C541D" w:rsidR="000D23F0" w:rsidRDefault="000D23F0" w:rsidP="000D23F0">
      <w:pPr>
        <w:pStyle w:val="ListParagraph"/>
        <w:numPr>
          <w:ilvl w:val="1"/>
          <w:numId w:val="1"/>
        </w:numPr>
      </w:pPr>
      <w:r>
        <w:t xml:space="preserve">There is no </w:t>
      </w:r>
      <w:r w:rsidR="002F6C39">
        <w:t xml:space="preserve">mention that 196 </w:t>
      </w:r>
      <w:proofErr w:type="spellStart"/>
      <w:r w:rsidR="002F6C39">
        <w:t>Goldhurst</w:t>
      </w:r>
      <w:proofErr w:type="spellEnd"/>
      <w:r w:rsidR="002F6C39">
        <w:t xml:space="preserve"> Terrace has a cellar</w:t>
      </w:r>
      <w:r w:rsidR="00C1000D">
        <w:t>.</w:t>
      </w:r>
    </w:p>
    <w:p w14:paraId="09DD1AE7" w14:textId="143CABB0" w:rsidR="000D23F0" w:rsidRDefault="000D23F0" w:rsidP="007B5A55">
      <w:pPr>
        <w:pStyle w:val="ListParagraph"/>
        <w:numPr>
          <w:ilvl w:val="2"/>
          <w:numId w:val="1"/>
        </w:numPr>
      </w:pPr>
      <w:r>
        <w:t>There seems to be a strong possibility that</w:t>
      </w:r>
      <w:r w:rsidR="00C1000D">
        <w:t xml:space="preserve"> the Party Wall etc. Ac</w:t>
      </w:r>
      <w:r w:rsidR="00540FBD">
        <w:t>t</w:t>
      </w:r>
      <w:r>
        <w:t xml:space="preserve"> w</w:t>
      </w:r>
      <w:r w:rsidR="00540FBD">
        <w:t>ould</w:t>
      </w:r>
      <w:r>
        <w:t xml:space="preserve"> not </w:t>
      </w:r>
      <w:r w:rsidR="00540FBD">
        <w:t xml:space="preserve">apply to 196 </w:t>
      </w:r>
      <w:r>
        <w:t xml:space="preserve">and so the Council cannot </w:t>
      </w:r>
      <w:r w:rsidR="00F578EE">
        <w:t>simply</w:t>
      </w:r>
      <w:r w:rsidR="00F578EE">
        <w:t xml:space="preserve"> </w:t>
      </w:r>
      <w:r>
        <w:t>rely on providing an advisory note in relation to the Act.</w:t>
      </w:r>
      <w:r w:rsidR="007E7E26">
        <w:t xml:space="preserve"> </w:t>
      </w:r>
      <w:r w:rsidR="00D21D60">
        <w:t xml:space="preserve">Lorna and Ralph Darlington </w:t>
      </w:r>
      <w:r w:rsidR="00A11305">
        <w:t xml:space="preserve">at 196 </w:t>
      </w:r>
      <w:r w:rsidR="00D21D60">
        <w:t>must have absolute assurance</w:t>
      </w:r>
      <w:r w:rsidR="00A11305">
        <w:t xml:space="preserve"> that any damage </w:t>
      </w:r>
      <w:r w:rsidR="002639F2">
        <w:t xml:space="preserve">to their property </w:t>
      </w:r>
      <w:r w:rsidR="00A11305">
        <w:t xml:space="preserve">would </w:t>
      </w:r>
    </w:p>
    <w:p w14:paraId="03A3193C" w14:textId="63F100AA" w:rsidR="002639F2" w:rsidRDefault="00E43D85" w:rsidP="00E43D85">
      <w:pPr>
        <w:pStyle w:val="ListParagraph"/>
        <w:numPr>
          <w:ilvl w:val="0"/>
          <w:numId w:val="2"/>
        </w:numPr>
      </w:pPr>
      <w:r>
        <w:t xml:space="preserve">not exceed Category </w:t>
      </w:r>
      <w:r w:rsidR="00A06725">
        <w:t xml:space="preserve">1 cracks on </w:t>
      </w:r>
      <w:r>
        <w:t>the Burland</w:t>
      </w:r>
      <w:r w:rsidR="00A06725">
        <w:t xml:space="preserve"> Scale; and</w:t>
      </w:r>
    </w:p>
    <w:p w14:paraId="0E69DCF2" w14:textId="79152384" w:rsidR="00A06725" w:rsidRDefault="00664E41" w:rsidP="00E43D85">
      <w:pPr>
        <w:pStyle w:val="ListParagraph"/>
        <w:numPr>
          <w:ilvl w:val="0"/>
          <w:numId w:val="2"/>
        </w:numPr>
      </w:pPr>
      <w:r>
        <w:t>be put back in good structural and decorative order</w:t>
      </w:r>
    </w:p>
    <w:p w14:paraId="51AEDE63" w14:textId="77777777" w:rsidR="00D81E68" w:rsidRDefault="000D23F0" w:rsidP="000D23F0">
      <w:pPr>
        <w:pStyle w:val="ListParagraph"/>
        <w:numPr>
          <w:ilvl w:val="1"/>
          <w:numId w:val="1"/>
        </w:numPr>
      </w:pPr>
      <w:r>
        <w:t xml:space="preserve">On page 22 the </w:t>
      </w:r>
      <w:r w:rsidR="00C07C5D">
        <w:t>Flood Ri</w:t>
      </w:r>
      <w:r w:rsidR="007B27B3">
        <w:t xml:space="preserve">sk response </w:t>
      </w:r>
      <w:r>
        <w:t>states</w:t>
      </w:r>
      <w:r w:rsidR="00076486">
        <w:t>:</w:t>
      </w:r>
    </w:p>
    <w:p w14:paraId="7257841D" w14:textId="77777777" w:rsidR="00D81E68" w:rsidRDefault="000D23F0" w:rsidP="00D81E68">
      <w:pPr>
        <w:pStyle w:val="ListParagraph"/>
        <w:ind w:left="1440"/>
      </w:pPr>
      <w:r>
        <w:t xml:space="preserve"> “</w:t>
      </w:r>
      <w:r>
        <w:rPr>
          <w:i/>
          <w:iCs/>
        </w:rPr>
        <w:t>As this is just for planning stage, the applicant has not undertaken any long-term ground watering monitoring.”</w:t>
      </w:r>
      <w:r>
        <w:t xml:space="preserve"> </w:t>
      </w:r>
      <w:r w:rsidR="00C07C5D">
        <w:t xml:space="preserve"> </w:t>
      </w:r>
    </w:p>
    <w:p w14:paraId="3FC668E0" w14:textId="4E9B9F09" w:rsidR="00D81E68" w:rsidRDefault="00076486" w:rsidP="00B71F55">
      <w:pPr>
        <w:pStyle w:val="ListParagraph"/>
        <w:ind w:left="1440"/>
      </w:pPr>
      <w:r>
        <w:t xml:space="preserve">It goes on </w:t>
      </w:r>
      <w:r w:rsidR="00F63D52">
        <w:t>t</w:t>
      </w:r>
      <w:r>
        <w:t>o state</w:t>
      </w:r>
      <w:r w:rsidR="00D81E68">
        <w:t>:</w:t>
      </w:r>
    </w:p>
    <w:p w14:paraId="4DE288A6" w14:textId="0680D446" w:rsidR="00F63D52" w:rsidRDefault="00F63D52" w:rsidP="00D81E68">
      <w:pPr>
        <w:pStyle w:val="ListParagraph"/>
        <w:ind w:left="1440"/>
      </w:pPr>
      <w:r>
        <w:t>“</w:t>
      </w:r>
      <w:r w:rsidR="00297AB6">
        <w:rPr>
          <w:i/>
          <w:iCs/>
        </w:rPr>
        <w:t>It should be noted that the ground water levels will be well below the basement level</w:t>
      </w:r>
      <w:r w:rsidR="002B0B8B">
        <w:rPr>
          <w:i/>
          <w:iCs/>
        </w:rPr>
        <w:t>…</w:t>
      </w:r>
      <w:r w:rsidR="002B0B8B">
        <w:t xml:space="preserve">” </w:t>
      </w:r>
    </w:p>
    <w:p w14:paraId="468923E9" w14:textId="6E68AFB2" w:rsidR="002B0B8B" w:rsidRDefault="009571CE" w:rsidP="00D81E68">
      <w:pPr>
        <w:pStyle w:val="ListParagraph"/>
        <w:ind w:left="1440"/>
      </w:pPr>
      <w:r>
        <w:t>a</w:t>
      </w:r>
      <w:r w:rsidR="002B0B8B">
        <w:t>nd</w:t>
      </w:r>
      <w:r>
        <w:t xml:space="preserve"> categorically states</w:t>
      </w:r>
      <w:r w:rsidR="002B0B8B">
        <w:t>:</w:t>
      </w:r>
    </w:p>
    <w:p w14:paraId="736E1731" w14:textId="4A2B7F10" w:rsidR="00FB502F" w:rsidRDefault="00FB502F" w:rsidP="00D81E68">
      <w:pPr>
        <w:pStyle w:val="ListParagraph"/>
        <w:ind w:left="1440"/>
      </w:pPr>
      <w:r>
        <w:t>“</w:t>
      </w:r>
      <w:r w:rsidRPr="00B31A81">
        <w:rPr>
          <w:i/>
          <w:iCs/>
        </w:rPr>
        <w:t>No monitoring is proposed</w:t>
      </w:r>
      <w:r w:rsidR="00B31A81" w:rsidRPr="00B31A81">
        <w:rPr>
          <w:i/>
          <w:iCs/>
        </w:rPr>
        <w:t xml:space="preserve"> prior to </w:t>
      </w:r>
      <w:r w:rsidR="001F2846">
        <w:rPr>
          <w:i/>
          <w:iCs/>
        </w:rPr>
        <w:t>t</w:t>
      </w:r>
      <w:r w:rsidR="00B31A81" w:rsidRPr="00B31A81">
        <w:rPr>
          <w:i/>
          <w:iCs/>
        </w:rPr>
        <w:t>he planning application being considered</w:t>
      </w:r>
      <w:r w:rsidR="00B31A81">
        <w:t xml:space="preserve">” </w:t>
      </w:r>
    </w:p>
    <w:p w14:paraId="4D7AF9BA" w14:textId="266B6488" w:rsidR="00B31A81" w:rsidRDefault="000A0262" w:rsidP="00B742D3">
      <w:pPr>
        <w:pStyle w:val="ListParagraph"/>
        <w:ind w:left="1440"/>
        <w:jc w:val="both"/>
      </w:pPr>
      <w:r>
        <w:t>I</w:t>
      </w:r>
      <w:r w:rsidR="00B23435">
        <w:t>t is assumed</w:t>
      </w:r>
      <w:r w:rsidR="007E52E0">
        <w:t>, probably rashly,</w:t>
      </w:r>
      <w:r w:rsidR="005150BF">
        <w:t xml:space="preserve"> that there will be no</w:t>
      </w:r>
      <w:r w:rsidR="005A3672">
        <w:t xml:space="preserve"> change in water flows affecting neighbours.</w:t>
      </w:r>
      <w:r w:rsidR="001F2846">
        <w:t xml:space="preserve"> The conc</w:t>
      </w:r>
      <w:r w:rsidR="00451B49">
        <w:t>lu</w:t>
      </w:r>
      <w:r w:rsidR="001F2846">
        <w:t xml:space="preserve">sion on page 42 </w:t>
      </w:r>
      <w:r w:rsidR="00451B49">
        <w:t>makes no mention</w:t>
      </w:r>
      <w:r w:rsidR="00B053F0">
        <w:t xml:space="preserve"> of the </w:t>
      </w:r>
      <w:r w:rsidR="00187EDA">
        <w:t>e</w:t>
      </w:r>
      <w:r w:rsidR="00B053F0">
        <w:t>ffect on neighbouring properties or grou</w:t>
      </w:r>
      <w:r w:rsidR="00187EDA">
        <w:t>n</w:t>
      </w:r>
      <w:r w:rsidR="00B053F0">
        <w:t>d water flows being diverted</w:t>
      </w:r>
      <w:r w:rsidR="00FC5C21">
        <w:t>.</w:t>
      </w:r>
    </w:p>
    <w:p w14:paraId="716569CD" w14:textId="6D7C16D1" w:rsidR="004A1FF6" w:rsidRDefault="007B5A55" w:rsidP="00D647FD">
      <w:pPr>
        <w:ind w:left="1440"/>
      </w:pPr>
      <w:r>
        <w:t xml:space="preserve">I </w:t>
      </w:r>
      <w:r w:rsidR="000D23F0">
        <w:t xml:space="preserve">have pointed out previously that this </w:t>
      </w:r>
      <w:r w:rsidR="000A6EEA">
        <w:t xml:space="preserve">approach is not acceptable and </w:t>
      </w:r>
      <w:r w:rsidR="000D23F0">
        <w:t xml:space="preserve">monitoring must be carried out now as part of the current BIA assessment. It seems highly unlikely that the ground water is currently at a depth of 10m. Camden </w:t>
      </w:r>
      <w:r w:rsidR="004A1FF6">
        <w:t xml:space="preserve">surely </w:t>
      </w:r>
      <w:r w:rsidR="000D23F0">
        <w:t xml:space="preserve">requires this information; Campbell Reith called for it; and it must be provided before </w:t>
      </w:r>
      <w:r w:rsidR="000A6EEA">
        <w:t>a Decision is made on the application</w:t>
      </w:r>
      <w:r w:rsidR="00DD6AA8">
        <w:t>.</w:t>
      </w:r>
    </w:p>
    <w:p w14:paraId="2BF16989" w14:textId="77777777" w:rsidR="00AA5975" w:rsidRPr="00AA5975" w:rsidRDefault="00D710CC" w:rsidP="00AA5975">
      <w:pPr>
        <w:pStyle w:val="ListParagraph"/>
        <w:numPr>
          <w:ilvl w:val="0"/>
          <w:numId w:val="1"/>
        </w:numPr>
        <w:ind w:left="1040"/>
      </w:pPr>
      <w:r w:rsidRPr="00E01A6B">
        <w:rPr>
          <w:u w:val="single"/>
        </w:rPr>
        <w:t>Revised BIA and Appendices Rev. 2</w:t>
      </w:r>
    </w:p>
    <w:p w14:paraId="52A16B0C" w14:textId="15949E87" w:rsidR="001C5879" w:rsidRDefault="00AA5975" w:rsidP="001C5879">
      <w:pPr>
        <w:pStyle w:val="ListParagraph"/>
        <w:numPr>
          <w:ilvl w:val="1"/>
          <w:numId w:val="1"/>
        </w:numPr>
      </w:pPr>
      <w:r>
        <w:t>The tracker at the end of Camp</w:t>
      </w:r>
      <w:r w:rsidR="00DD0397">
        <w:t>bell Reith’s document did not for some reason include all the</w:t>
      </w:r>
      <w:r w:rsidR="008C69D3">
        <w:t xml:space="preserve"> points on which further information was required</w:t>
      </w:r>
      <w:r w:rsidR="00813174">
        <w:t xml:space="preserve"> in the main body of their report</w:t>
      </w:r>
      <w:r w:rsidR="00F72BAC">
        <w:t>, for example</w:t>
      </w:r>
      <w:r w:rsidR="001C5879">
        <w:t>:</w:t>
      </w:r>
      <w:r w:rsidR="00F72BAC">
        <w:t xml:space="preserve"> </w:t>
      </w:r>
    </w:p>
    <w:p w14:paraId="2FBCFFEF" w14:textId="2D639F5B" w:rsidR="00AA5975" w:rsidRDefault="007E0EB1" w:rsidP="001C5879">
      <w:pPr>
        <w:pStyle w:val="ListParagraph"/>
        <w:ind w:left="1800"/>
      </w:pPr>
      <w:r>
        <w:t>p</w:t>
      </w:r>
      <w:r w:rsidR="00F72BAC">
        <w:t>ara</w:t>
      </w:r>
      <w:r w:rsidR="00E26D64">
        <w:t>s</w:t>
      </w:r>
      <w:r w:rsidR="00F72BAC">
        <w:t>. 4.8</w:t>
      </w:r>
      <w:r w:rsidR="00E26D64">
        <w:t>, 4.10</w:t>
      </w:r>
      <w:r>
        <w:t>. 4.19 and 4.22</w:t>
      </w:r>
      <w:r w:rsidR="004203EB">
        <w:t>, inclu</w:t>
      </w:r>
      <w:r w:rsidR="00571A25">
        <w:t xml:space="preserve">ding the potential risk to, presumably, the party garden wall </w:t>
      </w:r>
      <w:r w:rsidR="007D4E79">
        <w:t>between 194 and 196 and not to 196 itself though clarification on this point is needed.</w:t>
      </w:r>
    </w:p>
    <w:p w14:paraId="5F35DAFA" w14:textId="77777777" w:rsidR="00A36738" w:rsidRDefault="008416C8" w:rsidP="00AC27CD">
      <w:pPr>
        <w:ind w:left="1436"/>
      </w:pPr>
      <w:r>
        <w:t xml:space="preserve">Para 1.1.8 </w:t>
      </w:r>
      <w:r w:rsidR="002408BA">
        <w:t xml:space="preserve">presumably applies to neighbouring properties and </w:t>
      </w:r>
      <w:r>
        <w:t>conc</w:t>
      </w:r>
      <w:r w:rsidR="009D526C">
        <w:t xml:space="preserve">edes that </w:t>
      </w:r>
      <w:r w:rsidR="00642080">
        <w:t>structural monitoring</w:t>
      </w:r>
      <w:r w:rsidR="00642080">
        <w:tab/>
        <w:t>is to be set up in the structural specification</w:t>
      </w:r>
      <w:r w:rsidR="00D26212">
        <w:t xml:space="preserve">. It goes on to say </w:t>
      </w:r>
      <w:r w:rsidR="00C60840">
        <w:t>in para 1.1</w:t>
      </w:r>
      <w:r w:rsidR="00597E6C">
        <w:t>.</w:t>
      </w:r>
      <w:r w:rsidR="00C60840">
        <w:t xml:space="preserve">9 </w:t>
      </w:r>
      <w:r w:rsidR="00D26212">
        <w:t>that</w:t>
      </w:r>
      <w:r w:rsidR="00C60840">
        <w:t xml:space="preserve"> the Basement Impact Assessment</w:t>
      </w:r>
      <w:r w:rsidR="00C3490E">
        <w:t xml:space="preserve"> has assessed …… impacts of the proposed development on neighbouring structures</w:t>
      </w:r>
      <w:r w:rsidR="00EA5F28">
        <w:t xml:space="preserve"> and </w:t>
      </w:r>
      <w:r w:rsidR="00EA5F28">
        <w:lastRenderedPageBreak/>
        <w:t>damage would not exceed Category 1 damage of th</w:t>
      </w:r>
      <w:r w:rsidR="00721C86">
        <w:t>e</w:t>
      </w:r>
      <w:r w:rsidR="00EA5F28">
        <w:t xml:space="preserve"> Burland Sca</w:t>
      </w:r>
      <w:r w:rsidR="00721C86">
        <w:t>le.</w:t>
      </w:r>
      <w:r w:rsidR="00E11DCD">
        <w:t xml:space="preserve"> </w:t>
      </w:r>
      <w:r w:rsidR="00597E6C">
        <w:t xml:space="preserve"> Para </w:t>
      </w:r>
      <w:r w:rsidR="004B7EC9">
        <w:t xml:space="preserve">1.1.10 </w:t>
      </w:r>
      <w:r w:rsidR="004B7EC9">
        <w:t xml:space="preserve">states the BIA </w:t>
      </w:r>
      <w:r w:rsidR="00180217">
        <w:t xml:space="preserve">has </w:t>
      </w:r>
      <w:r w:rsidR="007E79AE">
        <w:t xml:space="preserve">demonstrated </w:t>
      </w:r>
      <w:r w:rsidR="0090685D">
        <w:t>that the proposal would not cause</w:t>
      </w:r>
      <w:r w:rsidR="007117CE">
        <w:t xml:space="preserve"> </w:t>
      </w:r>
      <w:r w:rsidR="0090685D">
        <w:t>harm to neighbouring properties</w:t>
      </w:r>
      <w:r w:rsidR="007117CE">
        <w:t xml:space="preserve">; and to </w:t>
      </w:r>
      <w:r w:rsidR="0043653C">
        <w:t>the structural, ground or water conditions</w:t>
      </w:r>
      <w:r w:rsidR="00117190">
        <w:t xml:space="preserve">. </w:t>
      </w:r>
      <w:r w:rsidR="00A36738">
        <w:t>Where is the evidence to support these statements?</w:t>
      </w:r>
    </w:p>
    <w:p w14:paraId="1363C17B" w14:textId="35BA3CCD" w:rsidR="002733B3" w:rsidRDefault="005D0868" w:rsidP="007B6B2C">
      <w:pPr>
        <w:ind w:left="1436"/>
      </w:pPr>
      <w:r>
        <w:t>I note</w:t>
      </w:r>
      <w:r w:rsidR="0063794E">
        <w:t xml:space="preserve"> on the Thames Water Assets</w:t>
      </w:r>
      <w:r w:rsidR="003219C8">
        <w:t>’</w:t>
      </w:r>
      <w:r w:rsidR="0063794E">
        <w:t xml:space="preserve"> Locations map</w:t>
      </w:r>
      <w:r w:rsidR="0013334F">
        <w:t xml:space="preserve"> that there is a pink dot </w:t>
      </w:r>
      <w:r w:rsidR="005B09D1">
        <w:t xml:space="preserve">shown </w:t>
      </w:r>
      <w:r w:rsidR="0013334F">
        <w:t xml:space="preserve">in the pavement outside 196 </w:t>
      </w:r>
      <w:proofErr w:type="spellStart"/>
      <w:r w:rsidR="0013334F">
        <w:t>Goldhurst</w:t>
      </w:r>
      <w:proofErr w:type="spellEnd"/>
      <w:r w:rsidR="0013334F">
        <w:t xml:space="preserve"> Terrace</w:t>
      </w:r>
      <w:r w:rsidR="001F57C7">
        <w:t xml:space="preserve"> which indicates: “</w:t>
      </w:r>
      <w:r w:rsidR="003219C8" w:rsidRPr="007036B0">
        <w:rPr>
          <w:i/>
          <w:iCs/>
        </w:rPr>
        <w:t>Content of th</w:t>
      </w:r>
      <w:r w:rsidR="007036B0" w:rsidRPr="007036B0">
        <w:rPr>
          <w:i/>
          <w:iCs/>
        </w:rPr>
        <w:t>i</w:t>
      </w:r>
      <w:r w:rsidR="003219C8" w:rsidRPr="007036B0">
        <w:rPr>
          <w:i/>
          <w:iCs/>
        </w:rPr>
        <w:t>s drainage n</w:t>
      </w:r>
      <w:r w:rsidR="007036B0" w:rsidRPr="007036B0">
        <w:rPr>
          <w:i/>
          <w:iCs/>
        </w:rPr>
        <w:t>etwork is currently unknown</w:t>
      </w:r>
      <w:r w:rsidR="007036B0">
        <w:t>”</w:t>
      </w:r>
      <w:r w:rsidR="004F1DD4">
        <w:t>.</w:t>
      </w:r>
      <w:r w:rsidR="005225E8">
        <w:t xml:space="preserve"> It would seem essential to establish the location of a</w:t>
      </w:r>
      <w:r w:rsidR="007D3D26">
        <w:t>ll</w:t>
      </w:r>
      <w:r w:rsidR="005225E8">
        <w:t xml:space="preserve"> </w:t>
      </w:r>
      <w:r w:rsidR="002758CC">
        <w:t>Thames Water assets generally</w:t>
      </w:r>
      <w:r w:rsidR="00CC52C1">
        <w:t>.</w:t>
      </w:r>
    </w:p>
    <w:p w14:paraId="74742016" w14:textId="39B9E08F" w:rsidR="002733B3" w:rsidRDefault="002733B3" w:rsidP="00AC27CD">
      <w:pPr>
        <w:ind w:left="1436"/>
      </w:pPr>
      <w:r>
        <w:t>The ‘</w:t>
      </w:r>
      <w:r w:rsidR="00007C5F">
        <w:t>T</w:t>
      </w:r>
      <w:r>
        <w:t>ree Constraints Plan</w:t>
      </w:r>
      <w:r w:rsidR="00007C5F">
        <w:t>’ does not include root protection areas of neighbouring trees</w:t>
      </w:r>
      <w:r w:rsidR="007B6B2C">
        <w:t>.</w:t>
      </w:r>
    </w:p>
    <w:p w14:paraId="130E6538" w14:textId="3FDF0E64" w:rsidR="00DB3B0C" w:rsidRDefault="007B6B2C" w:rsidP="00DB3B0C">
      <w:pPr>
        <w:ind w:left="1436"/>
      </w:pPr>
      <w:r>
        <w:t xml:space="preserve">Taking all the above concerns together I consider it is essential that Campbell Reith </w:t>
      </w:r>
      <w:r w:rsidR="00120FB1">
        <w:t xml:space="preserve">is commissioned to </w:t>
      </w:r>
      <w:r>
        <w:t>revi</w:t>
      </w:r>
      <w:r w:rsidR="008E00B1">
        <w:t xml:space="preserve">ew the </w:t>
      </w:r>
      <w:r w:rsidR="008E00B1">
        <w:t>information</w:t>
      </w:r>
      <w:r w:rsidR="008E00B1">
        <w:t xml:space="preserve"> recently presented by the applicant</w:t>
      </w:r>
      <w:r w:rsidR="00DB3B0C">
        <w:t>.</w:t>
      </w:r>
    </w:p>
    <w:p w14:paraId="091D43ED" w14:textId="6712A58D" w:rsidR="00DB3B0C" w:rsidRDefault="00DB3B0C" w:rsidP="00AC27CD">
      <w:pPr>
        <w:ind w:left="1436"/>
      </w:pPr>
      <w:r>
        <w:t>Kind regards,</w:t>
      </w:r>
    </w:p>
    <w:p w14:paraId="4FE9DECB" w14:textId="77777777" w:rsidR="00DB3B0C" w:rsidRDefault="00DB3B0C" w:rsidP="00AC27CD">
      <w:pPr>
        <w:ind w:left="1436"/>
      </w:pPr>
    </w:p>
    <w:p w14:paraId="6E79785A" w14:textId="19C7BD4C" w:rsidR="00DB3B0C" w:rsidRDefault="00DB3B0C" w:rsidP="00AC27CD">
      <w:pPr>
        <w:ind w:left="1436"/>
      </w:pPr>
      <w:r>
        <w:t>Gail Waldman</w:t>
      </w:r>
    </w:p>
    <w:p w14:paraId="67F52703" w14:textId="0DDB8DAC" w:rsidR="00CD427F" w:rsidRPr="00DB3B0C" w:rsidRDefault="00CD427F" w:rsidP="00AC27CD">
      <w:pPr>
        <w:ind w:left="1436"/>
      </w:pPr>
      <w:r>
        <w:t>cc. Ralston Darlington; Lorna &amp; Ralph Darlington</w:t>
      </w:r>
    </w:p>
    <w:p w14:paraId="7AD6E5A9" w14:textId="13C669E9" w:rsidR="00D40108" w:rsidRDefault="00D40108" w:rsidP="00313BDE">
      <w:pPr>
        <w:ind w:left="1436"/>
      </w:pPr>
      <w:r>
        <w:tab/>
      </w:r>
    </w:p>
    <w:p w14:paraId="18F935B4" w14:textId="01C2BD2D" w:rsidR="005E2747" w:rsidRPr="005E2747" w:rsidRDefault="00785B09" w:rsidP="00785B09">
      <w:r>
        <w:tab/>
      </w:r>
    </w:p>
    <w:p w14:paraId="14DF26CB" w14:textId="77777777" w:rsidR="00B17462" w:rsidRDefault="00B17462" w:rsidP="00B17462">
      <w:pPr>
        <w:spacing w:before="120" w:after="120" w:line="120" w:lineRule="auto"/>
        <w:contextualSpacing/>
        <w:jc w:val="center"/>
        <w:rPr>
          <w:b/>
          <w:bCs/>
          <w:color w:val="C00000"/>
        </w:rPr>
      </w:pPr>
    </w:p>
    <w:p w14:paraId="68ED47BB" w14:textId="77777777" w:rsidR="000D23F0" w:rsidRDefault="000D23F0" w:rsidP="00B17462">
      <w:pPr>
        <w:spacing w:before="120" w:after="120" w:line="120" w:lineRule="auto"/>
        <w:contextualSpacing/>
        <w:jc w:val="center"/>
        <w:rPr>
          <w:b/>
          <w:bCs/>
          <w:color w:val="C00000"/>
        </w:rPr>
      </w:pPr>
    </w:p>
    <w:p w14:paraId="15E31C6E" w14:textId="77777777" w:rsidR="000D23F0" w:rsidRPr="00B17462" w:rsidRDefault="000D23F0" w:rsidP="00B17462">
      <w:pPr>
        <w:spacing w:before="120" w:after="120" w:line="120" w:lineRule="auto"/>
        <w:contextualSpacing/>
        <w:jc w:val="center"/>
        <w:rPr>
          <w:b/>
          <w:bCs/>
          <w:color w:val="C00000"/>
        </w:rPr>
      </w:pPr>
    </w:p>
    <w:sectPr w:rsidR="000D23F0" w:rsidRPr="00B17462" w:rsidSect="00B17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0C87"/>
    <w:multiLevelType w:val="multilevel"/>
    <w:tmpl w:val="A5182D68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5F9D4BB4"/>
    <w:multiLevelType w:val="hybridMultilevel"/>
    <w:tmpl w:val="2F8A1FAA"/>
    <w:lvl w:ilvl="0" w:tplc="28F23B3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E4E6611"/>
    <w:multiLevelType w:val="hybridMultilevel"/>
    <w:tmpl w:val="570E4936"/>
    <w:lvl w:ilvl="0" w:tplc="884AE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4348598">
    <w:abstractNumId w:val="0"/>
  </w:num>
  <w:num w:numId="2" w16cid:durableId="1704136828">
    <w:abstractNumId w:val="1"/>
  </w:num>
  <w:num w:numId="3" w16cid:durableId="147649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62"/>
    <w:rsid w:val="00007C5F"/>
    <w:rsid w:val="00076486"/>
    <w:rsid w:val="000A0262"/>
    <w:rsid w:val="000A6EEA"/>
    <w:rsid w:val="000D23F0"/>
    <w:rsid w:val="00117190"/>
    <w:rsid w:val="00120FB1"/>
    <w:rsid w:val="0013334F"/>
    <w:rsid w:val="00180217"/>
    <w:rsid w:val="00187EDA"/>
    <w:rsid w:val="001B33D4"/>
    <w:rsid w:val="001C5879"/>
    <w:rsid w:val="001F2846"/>
    <w:rsid w:val="001F57C7"/>
    <w:rsid w:val="002408BA"/>
    <w:rsid w:val="002639F2"/>
    <w:rsid w:val="002733B3"/>
    <w:rsid w:val="002758CC"/>
    <w:rsid w:val="00297AB6"/>
    <w:rsid w:val="002B0B8B"/>
    <w:rsid w:val="002B4100"/>
    <w:rsid w:val="002F6C39"/>
    <w:rsid w:val="00313BDE"/>
    <w:rsid w:val="003219C8"/>
    <w:rsid w:val="0033089F"/>
    <w:rsid w:val="004203EB"/>
    <w:rsid w:val="0043653C"/>
    <w:rsid w:val="00451B49"/>
    <w:rsid w:val="004709FA"/>
    <w:rsid w:val="004A1FF6"/>
    <w:rsid w:val="004B7EC9"/>
    <w:rsid w:val="004F1DD4"/>
    <w:rsid w:val="005150BF"/>
    <w:rsid w:val="005225E8"/>
    <w:rsid w:val="00536EBF"/>
    <w:rsid w:val="00536F34"/>
    <w:rsid w:val="00540FBD"/>
    <w:rsid w:val="00571A25"/>
    <w:rsid w:val="00585DC7"/>
    <w:rsid w:val="00597E6C"/>
    <w:rsid w:val="005A3672"/>
    <w:rsid w:val="005B09D1"/>
    <w:rsid w:val="005D0868"/>
    <w:rsid w:val="005E2747"/>
    <w:rsid w:val="00614DC8"/>
    <w:rsid w:val="0063794E"/>
    <w:rsid w:val="00642080"/>
    <w:rsid w:val="00664E41"/>
    <w:rsid w:val="006F0BCF"/>
    <w:rsid w:val="006F11EA"/>
    <w:rsid w:val="007036B0"/>
    <w:rsid w:val="007117CE"/>
    <w:rsid w:val="00721C86"/>
    <w:rsid w:val="00785B09"/>
    <w:rsid w:val="007A30C4"/>
    <w:rsid w:val="007B27B3"/>
    <w:rsid w:val="007B5A55"/>
    <w:rsid w:val="007B6B2C"/>
    <w:rsid w:val="007D3D26"/>
    <w:rsid w:val="007D4E79"/>
    <w:rsid w:val="007E0EB1"/>
    <w:rsid w:val="007E52E0"/>
    <w:rsid w:val="007E79AE"/>
    <w:rsid w:val="007E7E26"/>
    <w:rsid w:val="00813174"/>
    <w:rsid w:val="008416C8"/>
    <w:rsid w:val="00884367"/>
    <w:rsid w:val="008B53F4"/>
    <w:rsid w:val="008C69D3"/>
    <w:rsid w:val="008D7ACA"/>
    <w:rsid w:val="008E00B1"/>
    <w:rsid w:val="0090685D"/>
    <w:rsid w:val="009571CE"/>
    <w:rsid w:val="009D526C"/>
    <w:rsid w:val="009D72F7"/>
    <w:rsid w:val="00A06725"/>
    <w:rsid w:val="00A11305"/>
    <w:rsid w:val="00A36738"/>
    <w:rsid w:val="00AA42C9"/>
    <w:rsid w:val="00AA5975"/>
    <w:rsid w:val="00AC27CD"/>
    <w:rsid w:val="00B053F0"/>
    <w:rsid w:val="00B17462"/>
    <w:rsid w:val="00B23435"/>
    <w:rsid w:val="00B31A81"/>
    <w:rsid w:val="00B71F55"/>
    <w:rsid w:val="00B742D3"/>
    <w:rsid w:val="00BF374F"/>
    <w:rsid w:val="00C07C5D"/>
    <w:rsid w:val="00C1000D"/>
    <w:rsid w:val="00C3490E"/>
    <w:rsid w:val="00C60840"/>
    <w:rsid w:val="00CC52C1"/>
    <w:rsid w:val="00CD427F"/>
    <w:rsid w:val="00D21D60"/>
    <w:rsid w:val="00D26212"/>
    <w:rsid w:val="00D40108"/>
    <w:rsid w:val="00D647FD"/>
    <w:rsid w:val="00D710CC"/>
    <w:rsid w:val="00D81E68"/>
    <w:rsid w:val="00DB3B0C"/>
    <w:rsid w:val="00DD0397"/>
    <w:rsid w:val="00DD6AA8"/>
    <w:rsid w:val="00DF57A8"/>
    <w:rsid w:val="00E01A6B"/>
    <w:rsid w:val="00E11DCD"/>
    <w:rsid w:val="00E26D64"/>
    <w:rsid w:val="00E356AA"/>
    <w:rsid w:val="00E43D85"/>
    <w:rsid w:val="00E76689"/>
    <w:rsid w:val="00EA5F28"/>
    <w:rsid w:val="00ED00D0"/>
    <w:rsid w:val="00EF7A9E"/>
    <w:rsid w:val="00F142BD"/>
    <w:rsid w:val="00F578EE"/>
    <w:rsid w:val="00F61EA2"/>
    <w:rsid w:val="00F63D52"/>
    <w:rsid w:val="00F72BAC"/>
    <w:rsid w:val="00FB502F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B0CE"/>
  <w15:chartTrackingRefBased/>
  <w15:docId w15:val="{810097C0-2C39-4FDF-A738-1825BFAC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gailwaldman@gmail.com</dc:creator>
  <cp:keywords/>
  <dc:description/>
  <cp:lastModifiedBy>gailwaldman@gmail.com</cp:lastModifiedBy>
  <cp:revision>2</cp:revision>
  <dcterms:created xsi:type="dcterms:W3CDTF">2024-04-29T19:13:00Z</dcterms:created>
  <dcterms:modified xsi:type="dcterms:W3CDTF">2024-04-29T19:13:00Z</dcterms:modified>
</cp:coreProperties>
</file>