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13F1" w14:textId="701DC3C9" w:rsidR="00F23DF6" w:rsidRPr="00A93591" w:rsidRDefault="00F23DF6" w:rsidP="00A93591">
      <w:pPr>
        <w:pStyle w:val="Title"/>
      </w:pPr>
      <w:r w:rsidRPr="00A93591">
        <w:t xml:space="preserve">Heritage </w:t>
      </w:r>
      <w:r w:rsidR="00631543">
        <w:t>comments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1642"/>
        <w:gridCol w:w="1311"/>
        <w:gridCol w:w="381"/>
        <w:gridCol w:w="1914"/>
        <w:gridCol w:w="2213"/>
      </w:tblGrid>
      <w:tr w:rsidR="00FF1897" w14:paraId="550117DE" w14:textId="77777777" w:rsidTr="00E95218">
        <w:tc>
          <w:tcPr>
            <w:tcW w:w="4508" w:type="dxa"/>
            <w:gridSpan w:val="3"/>
            <w:shd w:val="clear" w:color="auto" w:fill="BDD6EE" w:themeFill="accent5" w:themeFillTint="66"/>
          </w:tcPr>
          <w:p w14:paraId="2B7B2EF9" w14:textId="6D9A0FDA" w:rsidR="00FF1897" w:rsidRDefault="00FF1897" w:rsidP="00F23DF6">
            <w:pPr>
              <w:pStyle w:val="Heading1"/>
              <w:outlineLvl w:val="0"/>
            </w:pPr>
            <w:r>
              <w:t>App reference</w:t>
            </w:r>
          </w:p>
        </w:tc>
        <w:tc>
          <w:tcPr>
            <w:tcW w:w="4508" w:type="dxa"/>
            <w:gridSpan w:val="3"/>
            <w:shd w:val="clear" w:color="auto" w:fill="BDD6EE" w:themeFill="accent5" w:themeFillTint="66"/>
          </w:tcPr>
          <w:p w14:paraId="2FC5DECC" w14:textId="015E8F49" w:rsidR="00FF1897" w:rsidRDefault="005514E2" w:rsidP="00F23DF6">
            <w:pPr>
              <w:pStyle w:val="Heading1"/>
              <w:outlineLvl w:val="0"/>
            </w:pPr>
            <w:r>
              <w:t>Case Officer</w:t>
            </w:r>
          </w:p>
        </w:tc>
      </w:tr>
      <w:tr w:rsidR="00FF1897" w14:paraId="4CA6881F" w14:textId="77777777" w:rsidTr="00F23DF6">
        <w:tc>
          <w:tcPr>
            <w:tcW w:w="4508" w:type="dxa"/>
            <w:gridSpan w:val="3"/>
          </w:tcPr>
          <w:p w14:paraId="63DA9358" w14:textId="77777777" w:rsidR="005514E2" w:rsidRDefault="005514E2" w:rsidP="00FF1897"/>
          <w:p w14:paraId="726F424C" w14:textId="704451FD" w:rsidR="005514E2" w:rsidRDefault="000727A6" w:rsidP="00FF1897">
            <w:r>
              <w:t>2022/2636/P</w:t>
            </w:r>
            <w:bookmarkStart w:id="0" w:name="_GoBack"/>
            <w:bookmarkEnd w:id="0"/>
          </w:p>
        </w:tc>
        <w:tc>
          <w:tcPr>
            <w:tcW w:w="4508" w:type="dxa"/>
            <w:gridSpan w:val="3"/>
          </w:tcPr>
          <w:p w14:paraId="314F5CC4" w14:textId="5489BB4F" w:rsidR="00FF1897" w:rsidRDefault="007C6EA1">
            <w:r>
              <w:t>Jane Wylie</w:t>
            </w:r>
          </w:p>
        </w:tc>
      </w:tr>
      <w:tr w:rsidR="00631543" w14:paraId="27296CCB" w14:textId="77777777" w:rsidTr="00631543">
        <w:tblPrEx>
          <w:tblCellMar>
            <w:top w:w="0" w:type="dxa"/>
            <w:bottom w:w="0" w:type="dxa"/>
          </w:tblCellMar>
        </w:tblPrEx>
        <w:tc>
          <w:tcPr>
            <w:tcW w:w="1555" w:type="dxa"/>
            <w:shd w:val="clear" w:color="auto" w:fill="BDD6EE" w:themeFill="accent5" w:themeFillTint="66"/>
          </w:tcPr>
          <w:p w14:paraId="58C79A8F" w14:textId="46D0B766" w:rsidR="00631543" w:rsidRDefault="00631543" w:rsidP="00631543">
            <w:pPr>
              <w:pStyle w:val="Heading1"/>
              <w:outlineLvl w:val="0"/>
            </w:pPr>
            <w:r>
              <w:t>More info needed – see officer</w:t>
            </w:r>
          </w:p>
        </w:tc>
        <w:tc>
          <w:tcPr>
            <w:tcW w:w="1642" w:type="dxa"/>
            <w:shd w:val="clear" w:color="auto" w:fill="BDD6EE" w:themeFill="accent5" w:themeFillTint="66"/>
          </w:tcPr>
          <w:p w14:paraId="7C815356" w14:textId="77777777" w:rsidR="00631543" w:rsidRDefault="00631543" w:rsidP="00631543">
            <w:pPr>
              <w:pStyle w:val="Heading1"/>
              <w:outlineLvl w:val="0"/>
            </w:pPr>
            <w:r>
              <w:t>No objection</w:t>
            </w:r>
          </w:p>
        </w:tc>
        <w:tc>
          <w:tcPr>
            <w:tcW w:w="1692" w:type="dxa"/>
            <w:gridSpan w:val="2"/>
            <w:shd w:val="clear" w:color="auto" w:fill="BDD6EE" w:themeFill="accent5" w:themeFillTint="66"/>
          </w:tcPr>
          <w:p w14:paraId="0866FFF5" w14:textId="77777777" w:rsidR="00631543" w:rsidRDefault="00631543" w:rsidP="00631543">
            <w:pPr>
              <w:pStyle w:val="Heading1"/>
              <w:outlineLvl w:val="0"/>
            </w:pPr>
            <w:r>
              <w:t>No objection</w:t>
            </w:r>
          </w:p>
          <w:p w14:paraId="72761B44" w14:textId="77777777" w:rsidR="00631543" w:rsidRDefault="00631543" w:rsidP="00631543">
            <w:pPr>
              <w:pStyle w:val="Heading1"/>
              <w:outlineLvl w:val="0"/>
            </w:pPr>
            <w:r>
              <w:t>STC</w:t>
            </w:r>
          </w:p>
        </w:tc>
        <w:tc>
          <w:tcPr>
            <w:tcW w:w="1914" w:type="dxa"/>
            <w:shd w:val="clear" w:color="auto" w:fill="BDD6EE" w:themeFill="accent5" w:themeFillTint="66"/>
          </w:tcPr>
          <w:p w14:paraId="3800E18F" w14:textId="77777777" w:rsidR="00631543" w:rsidRDefault="00631543" w:rsidP="00631543">
            <w:pPr>
              <w:pStyle w:val="Heading1"/>
              <w:outlineLvl w:val="0"/>
            </w:pPr>
            <w:r>
              <w:t>Concern Raised – see officer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14:paraId="14DA0D7C" w14:textId="77777777" w:rsidR="00631543" w:rsidRDefault="00631543" w:rsidP="00631543">
            <w:pPr>
              <w:pStyle w:val="Heading1"/>
              <w:outlineLvl w:val="0"/>
            </w:pPr>
            <w:r>
              <w:t>Objection</w:t>
            </w:r>
          </w:p>
          <w:p w14:paraId="0C43FC0E" w14:textId="77777777" w:rsidR="00631543" w:rsidRDefault="00631543" w:rsidP="00631543">
            <w:pPr>
              <w:pStyle w:val="Heading1"/>
              <w:outlineLvl w:val="0"/>
            </w:pPr>
            <w:r>
              <w:t>- see officer</w:t>
            </w:r>
          </w:p>
        </w:tc>
      </w:tr>
      <w:tr w:rsidR="00631543" w14:paraId="5BD219D3" w14:textId="77777777" w:rsidTr="00771119">
        <w:tblPrEx>
          <w:tblCellMar>
            <w:top w:w="0" w:type="dxa"/>
            <w:bottom w:w="0" w:type="dxa"/>
          </w:tblCellMar>
        </w:tblPrEx>
        <w:tc>
          <w:tcPr>
            <w:tcW w:w="1555" w:type="dxa"/>
          </w:tcPr>
          <w:p w14:paraId="7B3F7B10" w14:textId="77777777" w:rsidR="00631543" w:rsidRDefault="00631543" w:rsidP="00771119">
            <w:pPr>
              <w:jc w:val="center"/>
            </w:pPr>
          </w:p>
        </w:tc>
        <w:tc>
          <w:tcPr>
            <w:tcW w:w="1642" w:type="dxa"/>
          </w:tcPr>
          <w:p w14:paraId="4D61146A" w14:textId="42E3A3CF" w:rsidR="00631543" w:rsidRDefault="007C6EA1" w:rsidP="00771119">
            <w:pPr>
              <w:jc w:val="center"/>
            </w:pPr>
            <w:r>
              <w:t>X</w:t>
            </w:r>
          </w:p>
        </w:tc>
        <w:tc>
          <w:tcPr>
            <w:tcW w:w="1692" w:type="dxa"/>
            <w:gridSpan w:val="2"/>
          </w:tcPr>
          <w:p w14:paraId="20590D3D" w14:textId="77777777" w:rsidR="00631543" w:rsidRDefault="00631543" w:rsidP="00771119">
            <w:pPr>
              <w:jc w:val="center"/>
            </w:pPr>
          </w:p>
        </w:tc>
        <w:tc>
          <w:tcPr>
            <w:tcW w:w="1914" w:type="dxa"/>
          </w:tcPr>
          <w:p w14:paraId="135D91C3" w14:textId="77777777" w:rsidR="00631543" w:rsidRDefault="00631543" w:rsidP="00771119">
            <w:pPr>
              <w:jc w:val="center"/>
            </w:pPr>
          </w:p>
        </w:tc>
        <w:tc>
          <w:tcPr>
            <w:tcW w:w="2213" w:type="dxa"/>
          </w:tcPr>
          <w:p w14:paraId="07ADACF3" w14:textId="77777777" w:rsidR="00631543" w:rsidRDefault="00631543" w:rsidP="00771119">
            <w:pPr>
              <w:jc w:val="center"/>
            </w:pPr>
          </w:p>
          <w:p w14:paraId="2CD0A837" w14:textId="77777777" w:rsidR="00631543" w:rsidRDefault="00631543" w:rsidP="00771119">
            <w:pPr>
              <w:jc w:val="center"/>
            </w:pPr>
          </w:p>
        </w:tc>
      </w:tr>
    </w:tbl>
    <w:p w14:paraId="049AC181" w14:textId="0108B9E8" w:rsidR="005821BE" w:rsidRPr="00F23DF6" w:rsidRDefault="005821BE">
      <w:pPr>
        <w:rPr>
          <w:sz w:val="24"/>
          <w:szCs w:val="24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58501E" w:rsidRPr="005821BE" w14:paraId="043FFB40" w14:textId="77777777" w:rsidTr="6F84DDBD">
        <w:tc>
          <w:tcPr>
            <w:tcW w:w="4508" w:type="dxa"/>
            <w:shd w:val="clear" w:color="auto" w:fill="BDD6EE" w:themeFill="accent5" w:themeFillTint="66"/>
          </w:tcPr>
          <w:p w14:paraId="46B86B25" w14:textId="77777777" w:rsidR="0058501E" w:rsidRPr="00631543" w:rsidRDefault="0058501E" w:rsidP="00631543">
            <w:pPr>
              <w:pStyle w:val="Heading1"/>
              <w:outlineLvl w:val="0"/>
            </w:pPr>
            <w:r>
              <w:t>Heritage asset name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14:paraId="3C0E1B74" w14:textId="7FB8DE6D" w:rsidR="0058501E" w:rsidRPr="005821BE" w:rsidRDefault="00F23DF6" w:rsidP="00495E48">
            <w:pPr>
              <w:pStyle w:val="Heading1"/>
              <w:outlineLvl w:val="0"/>
            </w:pPr>
            <w:r>
              <w:t xml:space="preserve">Heritage </w:t>
            </w:r>
            <w:r w:rsidR="1FF164C4">
              <w:t>status</w:t>
            </w:r>
            <w:r w:rsidR="0058501E">
              <w:t xml:space="preserve"> [delete as appropriate]</w:t>
            </w:r>
          </w:p>
        </w:tc>
      </w:tr>
      <w:tr w:rsidR="0058501E" w:rsidRPr="005821BE" w14:paraId="4716AFD6" w14:textId="77777777" w:rsidTr="6F84DDBD">
        <w:tc>
          <w:tcPr>
            <w:tcW w:w="4508" w:type="dxa"/>
          </w:tcPr>
          <w:p w14:paraId="33973D2E" w14:textId="3437DB32" w:rsidR="0058501E" w:rsidRDefault="007C6EA1" w:rsidP="005821BE">
            <w:r>
              <w:t>Manor Court</w:t>
            </w:r>
          </w:p>
        </w:tc>
        <w:tc>
          <w:tcPr>
            <w:tcW w:w="4508" w:type="dxa"/>
          </w:tcPr>
          <w:p w14:paraId="1DD78650" w14:textId="68804425" w:rsidR="0058501E" w:rsidRDefault="007C6EA1" w:rsidP="0058501E">
            <w:r>
              <w:t xml:space="preserve">South Hampstead </w:t>
            </w:r>
            <w:r w:rsidR="0058501E">
              <w:t>CA</w:t>
            </w:r>
          </w:p>
          <w:p w14:paraId="4BDF0D86" w14:textId="3D64718F" w:rsidR="0058501E" w:rsidRPr="005821BE" w:rsidRDefault="0058501E" w:rsidP="005821BE"/>
        </w:tc>
      </w:tr>
      <w:tr w:rsidR="005821BE" w:rsidRPr="005821BE" w14:paraId="51F79720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1048BFED" w14:textId="750F52FF" w:rsidR="005821BE" w:rsidRPr="005821BE" w:rsidRDefault="00631543" w:rsidP="00495E48">
            <w:pPr>
              <w:pStyle w:val="Heading1"/>
              <w:outlineLvl w:val="0"/>
            </w:pPr>
            <w:r>
              <w:t xml:space="preserve">Summary of significance </w:t>
            </w:r>
          </w:p>
        </w:tc>
      </w:tr>
      <w:tr w:rsidR="005821BE" w:rsidRPr="005821BE" w14:paraId="60616A52" w14:textId="77777777" w:rsidTr="6F84DDBD">
        <w:tc>
          <w:tcPr>
            <w:tcW w:w="9016" w:type="dxa"/>
            <w:gridSpan w:val="2"/>
          </w:tcPr>
          <w:p w14:paraId="13F8732B" w14:textId="6587F488" w:rsidR="00CE784B" w:rsidRDefault="007C6EA1" w:rsidP="00CE784B">
            <w:r>
              <w:t>Manor Court is</w:t>
            </w:r>
            <w:r w:rsidR="00CE784B">
              <w:t xml:space="preserve"> a mid-20</w:t>
            </w:r>
            <w:r w:rsidR="00CE784B" w:rsidRPr="00CE784B">
              <w:rPr>
                <w:vertAlign w:val="superscript"/>
              </w:rPr>
              <w:t>th</w:t>
            </w:r>
            <w:r w:rsidR="00CE784B">
              <w:t xml:space="preserve"> century block of flats located</w:t>
            </w:r>
            <w:r>
              <w:t xml:space="preserve"> in the South Hampstead Conservation Area</w:t>
            </w:r>
            <w:r w:rsidR="00CE784B">
              <w:t>.</w:t>
            </w:r>
          </w:p>
          <w:p w14:paraId="3253B78C" w14:textId="77777777" w:rsidR="00CE784B" w:rsidRDefault="00CE784B" w:rsidP="007C6EA1"/>
          <w:p w14:paraId="51F854A4" w14:textId="00578BC0" w:rsidR="00CE784B" w:rsidRDefault="00CE784B" w:rsidP="00CE784B">
            <w:r>
              <w:t>The significance of the Conservation Area der</w:t>
            </w:r>
            <w:r w:rsidR="00026668">
              <w:t>ives from its survival as a good</w:t>
            </w:r>
            <w:r>
              <w:t xml:space="preserve"> example of a leafy, Victorian suburb, with a largely similar scale and character throughout. Manor Court contributes to this significance by being a relatively modest addition of an appropriate scale within its setting. </w:t>
            </w:r>
          </w:p>
          <w:p w14:paraId="226D9106" w14:textId="677D6E2B" w:rsidR="005821BE" w:rsidRPr="005821BE" w:rsidRDefault="005821BE" w:rsidP="00CE784B"/>
        </w:tc>
      </w:tr>
      <w:tr w:rsidR="005821BE" w:rsidRPr="005821BE" w14:paraId="5DA3F2BC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1438AF26" w14:textId="07A07D79" w:rsidR="005821BE" w:rsidRPr="005821BE" w:rsidRDefault="00631543" w:rsidP="00495E48">
            <w:pPr>
              <w:pStyle w:val="Heading1"/>
              <w:outlineLvl w:val="0"/>
            </w:pPr>
            <w:r>
              <w:t>Comment</w:t>
            </w:r>
          </w:p>
        </w:tc>
      </w:tr>
      <w:tr w:rsidR="005821BE" w:rsidRPr="005821BE" w14:paraId="2F3D097F" w14:textId="77777777" w:rsidTr="6F84DDBD">
        <w:tc>
          <w:tcPr>
            <w:tcW w:w="9016" w:type="dxa"/>
            <w:gridSpan w:val="2"/>
          </w:tcPr>
          <w:p w14:paraId="47BC9854" w14:textId="7595F3D0" w:rsidR="007C6EA1" w:rsidRDefault="00CE784B" w:rsidP="00026668">
            <w:r>
              <w:t xml:space="preserve">Permission is sought for an additional story to be added to the block. The </w:t>
            </w:r>
            <w:r w:rsidR="00026668">
              <w:t xml:space="preserve">proposed </w:t>
            </w:r>
            <w:r>
              <w:t xml:space="preserve">storey is of a flat roofed design and will provide additional housing. </w:t>
            </w:r>
            <w:r w:rsidR="007C6EA1">
              <w:t xml:space="preserve">The </w:t>
            </w:r>
            <w:r w:rsidR="00026668">
              <w:t>application site</w:t>
            </w:r>
            <w:r w:rsidR="007C6EA1">
              <w:t xml:space="preserve"> comprises two low rise blocks </w:t>
            </w:r>
            <w:r w:rsidR="00026668">
              <w:t>of</w:t>
            </w:r>
            <w:r w:rsidR="007C6EA1">
              <w:t xml:space="preserve"> concrete and brick</w:t>
            </w:r>
            <w:r w:rsidR="00026668">
              <w:t xml:space="preserve"> construction with large expanses of glazing providing a horizontal emphasis. The existing building is flat roofed.</w:t>
            </w:r>
          </w:p>
          <w:p w14:paraId="0403BF79" w14:textId="77777777" w:rsidR="007C6EA1" w:rsidRDefault="007C6EA1" w:rsidP="007C6EA1"/>
          <w:p w14:paraId="3F2438B4" w14:textId="4253C74A" w:rsidR="00026668" w:rsidRDefault="007C6EA1" w:rsidP="007C6EA1">
            <w:r>
              <w:t xml:space="preserve">The surrounding street scene </w:t>
            </w:r>
            <w:r w:rsidR="00026668">
              <w:t>is varied</w:t>
            </w:r>
            <w:r>
              <w:t xml:space="preserve"> </w:t>
            </w:r>
            <w:r w:rsidR="00026668">
              <w:t>with properties of differing heights, architectural treatments and roof forms.</w:t>
            </w:r>
            <w:r>
              <w:t xml:space="preserve"> </w:t>
            </w:r>
            <w:r w:rsidR="00026668">
              <w:t>The</w:t>
            </w:r>
            <w:r>
              <w:t xml:space="preserve"> neighbouring buildings </w:t>
            </w:r>
            <w:r w:rsidR="00026668">
              <w:t>either side of the property are taller and of a differing scale to the application site</w:t>
            </w:r>
            <w:r>
              <w:t xml:space="preserve">. </w:t>
            </w:r>
            <w:r w:rsidR="00026668">
              <w:t xml:space="preserve">Given this setting, the proposed additional storey will sit comfortably within the street scene and will not cause harm to the established form in this part of the Conservation Area. </w:t>
            </w:r>
          </w:p>
          <w:p w14:paraId="4BC9D4C0" w14:textId="77777777" w:rsidR="00026668" w:rsidRDefault="00026668" w:rsidP="00026668"/>
          <w:p w14:paraId="7490AC6E" w14:textId="77777777" w:rsidR="00026668" w:rsidRDefault="00026668" w:rsidP="00026668">
            <w:r>
              <w:t>The South Hampstead Conservation Area and Management Appraisal s</w:t>
            </w:r>
            <w:r>
              <w:t>tates</w:t>
            </w:r>
            <w:r>
              <w:t xml:space="preserve"> that </w:t>
            </w:r>
          </w:p>
          <w:p w14:paraId="19DE7ED0" w14:textId="6B5AA004" w:rsidR="00026668" w:rsidRPr="0024727B" w:rsidRDefault="0024727B" w:rsidP="00026668">
            <w:pPr>
              <w:rPr>
                <w:i/>
              </w:rPr>
            </w:pPr>
            <w:r w:rsidRPr="0024727B">
              <w:rPr>
                <w:i/>
              </w:rPr>
              <w:t>‘</w:t>
            </w:r>
            <w:r w:rsidR="00026668" w:rsidRPr="0024727B">
              <w:rPr>
                <w:i/>
              </w:rPr>
              <w:t xml:space="preserve">The variety of roof forms </w:t>
            </w:r>
            <w:r w:rsidRPr="0024727B">
              <w:rPr>
                <w:i/>
              </w:rPr>
              <w:t>i</w:t>
            </w:r>
            <w:r w:rsidR="00026668" w:rsidRPr="0024727B">
              <w:rPr>
                <w:i/>
              </w:rPr>
              <w:t xml:space="preserve">n the area means that each proposal must be carefully judged on its design merits; alterations should not result in increased visual bulk to the </w:t>
            </w:r>
          </w:p>
          <w:p w14:paraId="78D727A7" w14:textId="755BCBB1" w:rsidR="00ED0C57" w:rsidRDefault="00026668" w:rsidP="007C6EA1">
            <w:pPr>
              <w:rPr>
                <w:i/>
              </w:rPr>
            </w:pPr>
            <w:r w:rsidRPr="0024727B">
              <w:rPr>
                <w:i/>
              </w:rPr>
              <w:t>roof, nor should they draw more attention that existing to the roof</w:t>
            </w:r>
            <w:r w:rsidR="0024727B" w:rsidRPr="0024727B">
              <w:rPr>
                <w:i/>
              </w:rPr>
              <w:t xml:space="preserve"> </w:t>
            </w:r>
            <w:r w:rsidRPr="0024727B">
              <w:rPr>
                <w:i/>
              </w:rPr>
              <w:t>slope</w:t>
            </w:r>
            <w:r w:rsidR="00ED0C57">
              <w:rPr>
                <w:i/>
              </w:rPr>
              <w:t>’</w:t>
            </w:r>
            <w:r w:rsidR="0024727B" w:rsidRPr="0024727B">
              <w:rPr>
                <w:i/>
              </w:rPr>
              <w:t xml:space="preserve">. </w:t>
            </w:r>
          </w:p>
          <w:p w14:paraId="096579E8" w14:textId="4D15A506" w:rsidR="007C6EA1" w:rsidRPr="00ED0C57" w:rsidRDefault="007C6EA1" w:rsidP="007C6EA1">
            <w:pPr>
              <w:rPr>
                <w:i/>
              </w:rPr>
            </w:pPr>
          </w:p>
          <w:p w14:paraId="2F3C0138" w14:textId="2A9B13C3" w:rsidR="007C6EA1" w:rsidRDefault="007C6EA1" w:rsidP="007C6EA1">
            <w:r>
              <w:t xml:space="preserve">The shape and massing of the proposed extension </w:t>
            </w:r>
            <w:r w:rsidR="00ED0C57">
              <w:t>responds well</w:t>
            </w:r>
            <w:r>
              <w:t xml:space="preserve"> to the </w:t>
            </w:r>
            <w:r w:rsidR="00ED0C57">
              <w:t xml:space="preserve">existing </w:t>
            </w:r>
            <w:r>
              <w:t>propor</w:t>
            </w:r>
            <w:r w:rsidR="00ED0C57">
              <w:t xml:space="preserve">tions of the host building and the </w:t>
            </w:r>
            <w:r>
              <w:t xml:space="preserve">proposed setback </w:t>
            </w:r>
            <w:r w:rsidR="00ED0C57">
              <w:t>reduces</w:t>
            </w:r>
            <w:r>
              <w:t xml:space="preserve"> its visual prominence</w:t>
            </w:r>
            <w:r w:rsidR="00ED0C57">
              <w:t xml:space="preserve">. The materials are considered appropriate in relation to the host building and will not draw undue attention to the proposed addition. </w:t>
            </w:r>
            <w:r>
              <w:t xml:space="preserve"> </w:t>
            </w:r>
          </w:p>
          <w:p w14:paraId="75A3FD65" w14:textId="358E4D66" w:rsidR="0058501E" w:rsidRPr="005821BE" w:rsidRDefault="0058501E" w:rsidP="007C6EA1"/>
        </w:tc>
      </w:tr>
      <w:tr w:rsidR="00A93591" w:rsidRPr="005821BE" w14:paraId="770BD8E7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3F2B3137" w14:textId="6BDCB91C" w:rsidR="00A93591" w:rsidRPr="005821BE" w:rsidRDefault="00631543" w:rsidP="00A93591">
            <w:pPr>
              <w:pStyle w:val="Heading1"/>
              <w:outlineLvl w:val="0"/>
            </w:pPr>
            <w:r>
              <w:t>Impact on significance/</w:t>
            </w:r>
            <w:r w:rsidR="00A93591">
              <w:t>Suggested amendments</w:t>
            </w:r>
          </w:p>
        </w:tc>
      </w:tr>
      <w:tr w:rsidR="00A93591" w:rsidRPr="005821BE" w14:paraId="1DBB4284" w14:textId="77777777" w:rsidTr="6F84DDBD">
        <w:tc>
          <w:tcPr>
            <w:tcW w:w="9016" w:type="dxa"/>
            <w:gridSpan w:val="2"/>
          </w:tcPr>
          <w:p w14:paraId="685DF223" w14:textId="1E6531B0" w:rsidR="00631543" w:rsidRPr="00631543" w:rsidRDefault="00631543" w:rsidP="00631543">
            <w:pPr>
              <w:rPr>
                <w:b/>
              </w:rPr>
            </w:pPr>
            <w:r w:rsidRPr="00631543">
              <w:rPr>
                <w:b/>
              </w:rPr>
              <w:t>No harm</w:t>
            </w:r>
          </w:p>
          <w:p w14:paraId="771F2432" w14:textId="77777777" w:rsidR="00631543" w:rsidRDefault="00631543" w:rsidP="00631543"/>
          <w:p w14:paraId="66B82370" w14:textId="77777777" w:rsidR="00A93591" w:rsidRDefault="007C6EA1" w:rsidP="007C6EA1">
            <w:r>
              <w:lastRenderedPageBreak/>
              <w:t>The proposals will preserve the character and appearance of the Conservation Area and the host buildings themselves.</w:t>
            </w:r>
          </w:p>
          <w:p w14:paraId="58DFD355" w14:textId="4E81DAEA" w:rsidR="007C6EA1" w:rsidRPr="005821BE" w:rsidRDefault="007C6EA1" w:rsidP="007C6EA1"/>
        </w:tc>
      </w:tr>
      <w:tr w:rsidR="005821BE" w:rsidRPr="005821BE" w14:paraId="0E9B980C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53A22613" w14:textId="18D4E789" w:rsidR="005821BE" w:rsidRPr="005821BE" w:rsidRDefault="00631543" w:rsidP="00631543">
            <w:pPr>
              <w:pStyle w:val="Heading1"/>
              <w:outlineLvl w:val="0"/>
            </w:pPr>
            <w:r w:rsidRPr="00631543">
              <w:lastRenderedPageBreak/>
              <w:t>Relevant Legislation, Policy and Guidance</w:t>
            </w:r>
          </w:p>
        </w:tc>
      </w:tr>
      <w:tr w:rsidR="005821BE" w:rsidRPr="005821BE" w14:paraId="57458C0C" w14:textId="77777777" w:rsidTr="6F84DDBD">
        <w:tc>
          <w:tcPr>
            <w:tcW w:w="9016" w:type="dxa"/>
            <w:gridSpan w:val="2"/>
          </w:tcPr>
          <w:p w14:paraId="75604A38" w14:textId="78CE2BF3" w:rsidR="00631543" w:rsidRDefault="00631543" w:rsidP="00631543">
            <w:r>
              <w:t>Planning (Listed Buildings and Conservation Areas) Act 1990</w:t>
            </w:r>
          </w:p>
          <w:p w14:paraId="0A0C4FEA" w14:textId="59553457" w:rsidR="00631543" w:rsidRDefault="00631543" w:rsidP="00631543">
            <w:r>
              <w:t>National Planning Policy Framework: Chapter 16 Conserving and enhancing the historic environment</w:t>
            </w:r>
          </w:p>
          <w:p w14:paraId="15628A5E" w14:textId="3CD5A99F" w:rsidR="00631543" w:rsidRDefault="00631543" w:rsidP="00631543">
            <w:r>
              <w:t>National Planning Practice Guidance: Conserving and Enhancing the Historic Environment</w:t>
            </w:r>
          </w:p>
          <w:p w14:paraId="435ABB88" w14:textId="444AF5E1" w:rsidR="005514E2" w:rsidRDefault="005514E2" w:rsidP="00631543">
            <w:r>
              <w:t>Camden Local Plan Policy D2</w:t>
            </w:r>
          </w:p>
          <w:p w14:paraId="0AC79B59" w14:textId="2F3EE479" w:rsidR="005514E2" w:rsidRDefault="007C6EA1" w:rsidP="00631543">
            <w:r>
              <w:t xml:space="preserve">South Hampstead </w:t>
            </w:r>
            <w:r w:rsidR="005514E2">
              <w:t>CAA document</w:t>
            </w:r>
          </w:p>
          <w:p w14:paraId="0224C27B" w14:textId="079ECE4F" w:rsidR="005821BE" w:rsidRPr="005821BE" w:rsidRDefault="005821BE" w:rsidP="00631543"/>
        </w:tc>
      </w:tr>
    </w:tbl>
    <w:p w14:paraId="537682DC" w14:textId="30CE2F90" w:rsidR="00914856" w:rsidRDefault="00914856"/>
    <w:p w14:paraId="7103735D" w14:textId="21B740D6" w:rsidR="00631543" w:rsidRPr="00631543" w:rsidRDefault="00631543">
      <w:pPr>
        <w:rPr>
          <w:b/>
        </w:rPr>
      </w:pPr>
    </w:p>
    <w:sectPr w:rsidR="00631543" w:rsidRPr="00631543" w:rsidSect="00A93591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A287D" w14:textId="77777777" w:rsidR="00A93591" w:rsidRDefault="00A93591" w:rsidP="00A93591">
      <w:pPr>
        <w:spacing w:after="0" w:line="240" w:lineRule="auto"/>
      </w:pPr>
      <w:r>
        <w:separator/>
      </w:r>
    </w:p>
  </w:endnote>
  <w:endnote w:type="continuationSeparator" w:id="0">
    <w:p w14:paraId="0F7CDFBC" w14:textId="77777777" w:rsidR="00A93591" w:rsidRDefault="00A93591" w:rsidP="00A9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2682" w14:textId="77777777" w:rsidR="00A93591" w:rsidRDefault="00A93591" w:rsidP="00A93591">
      <w:pPr>
        <w:spacing w:after="0" w:line="240" w:lineRule="auto"/>
      </w:pPr>
      <w:r>
        <w:separator/>
      </w:r>
    </w:p>
  </w:footnote>
  <w:footnote w:type="continuationSeparator" w:id="0">
    <w:p w14:paraId="530FE482" w14:textId="77777777" w:rsidR="00A93591" w:rsidRDefault="00A93591" w:rsidP="00A93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97"/>
    <w:rsid w:val="00026668"/>
    <w:rsid w:val="00065D77"/>
    <w:rsid w:val="000727A6"/>
    <w:rsid w:val="00083458"/>
    <w:rsid w:val="000A5BCF"/>
    <w:rsid w:val="000C209D"/>
    <w:rsid w:val="00124B14"/>
    <w:rsid w:val="001A3DEF"/>
    <w:rsid w:val="001A6F19"/>
    <w:rsid w:val="0024727B"/>
    <w:rsid w:val="00392697"/>
    <w:rsid w:val="00465169"/>
    <w:rsid w:val="00516DF4"/>
    <w:rsid w:val="005514E2"/>
    <w:rsid w:val="005821BE"/>
    <w:rsid w:val="0058501E"/>
    <w:rsid w:val="00631543"/>
    <w:rsid w:val="006925AB"/>
    <w:rsid w:val="006D501A"/>
    <w:rsid w:val="007C6EA1"/>
    <w:rsid w:val="008A2C8B"/>
    <w:rsid w:val="00914856"/>
    <w:rsid w:val="009800AE"/>
    <w:rsid w:val="009E072C"/>
    <w:rsid w:val="00A360A1"/>
    <w:rsid w:val="00A93591"/>
    <w:rsid w:val="00CE784B"/>
    <w:rsid w:val="00DE1C3E"/>
    <w:rsid w:val="00E95218"/>
    <w:rsid w:val="00E97426"/>
    <w:rsid w:val="00EA3A23"/>
    <w:rsid w:val="00EB618D"/>
    <w:rsid w:val="00ED0C57"/>
    <w:rsid w:val="00F105B4"/>
    <w:rsid w:val="00F23DF6"/>
    <w:rsid w:val="00F5361E"/>
    <w:rsid w:val="00F645D5"/>
    <w:rsid w:val="00FF1897"/>
    <w:rsid w:val="0A2051F7"/>
    <w:rsid w:val="0A943451"/>
    <w:rsid w:val="1E8DAE27"/>
    <w:rsid w:val="1FF164C4"/>
    <w:rsid w:val="270E1386"/>
    <w:rsid w:val="273AADB9"/>
    <w:rsid w:val="341D42F7"/>
    <w:rsid w:val="3FFBBAA4"/>
    <w:rsid w:val="6CCDF74E"/>
    <w:rsid w:val="6F84DDBD"/>
    <w:rsid w:val="7A66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9A423C"/>
  <w15:chartTrackingRefBased/>
  <w15:docId w15:val="{40BB0B2E-7C17-4EDD-93B4-EED9E370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1BE"/>
    <w:pPr>
      <w:keepNext/>
      <w:keepLines/>
      <w:spacing w:after="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2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21BE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3591"/>
    <w:pPr>
      <w:spacing w:after="120" w:line="240" w:lineRule="auto"/>
    </w:pPr>
    <w:rPr>
      <w:rFonts w:eastAsiaTheme="majorEastAsia" w:cs="Arial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591"/>
    <w:rPr>
      <w:rFonts w:ascii="Arial" w:eastAsiaTheme="majorEastAsia" w:hAnsi="Arial" w:cs="Arial"/>
      <w:b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E974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ed8b3d-74f7-491b-af11-6e5a6eef9304">
      <Terms xmlns="http://schemas.microsoft.com/office/infopath/2007/PartnerControls"/>
    </lcf76f155ced4ddcb4097134ff3c332f>
    <TaxCatchAll xmlns="f9825e66-db47-40a0-8cbd-7d4ea8b34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2F28A8B5B1B48B3D002D1B247A114" ma:contentTypeVersion="16" ma:contentTypeDescription="Create a new document." ma:contentTypeScope="" ma:versionID="384ece39daf7905c93fb12739e45b970">
  <xsd:schema xmlns:xsd="http://www.w3.org/2001/XMLSchema" xmlns:xs="http://www.w3.org/2001/XMLSchema" xmlns:p="http://schemas.microsoft.com/office/2006/metadata/properties" xmlns:ns2="94ed8b3d-74f7-491b-af11-6e5a6eef9304" xmlns:ns3="f9825e66-db47-40a0-8cbd-7d4ea8b34089" targetNamespace="http://schemas.microsoft.com/office/2006/metadata/properties" ma:root="true" ma:fieldsID="ef46ecd5ecbe3ef7427686ba32908b8c" ns2:_="" ns3:_="">
    <xsd:import namespace="94ed8b3d-74f7-491b-af11-6e5a6eef9304"/>
    <xsd:import namespace="f9825e66-db47-40a0-8cbd-7d4ea8b3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8b3d-74f7-491b-af11-6e5a6eef9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25e66-db47-40a0-8cbd-7d4ea8b3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2840c3-da17-4149-93d6-a78d53fb9116}" ma:internalName="TaxCatchAll" ma:showField="CatchAllData" ma:web="f9825e66-db47-40a0-8cbd-7d4ea8b34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515EB-2A3A-4C50-8681-0570A4646651}">
  <ds:schemaRefs>
    <ds:schemaRef ds:uri="http://purl.org/dc/terms/"/>
    <ds:schemaRef ds:uri="http://purl.org/dc/dcmitype/"/>
    <ds:schemaRef ds:uri="http://schemas.openxmlformats.org/package/2006/metadata/core-properties"/>
    <ds:schemaRef ds:uri="f9825e66-db47-40a0-8cbd-7d4ea8b3408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4ed8b3d-74f7-491b-af11-6e5a6eef93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99ABE2-856C-4B20-AC7E-B712C757A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F2DEF-4D22-40C9-8D43-060D4529F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d8b3d-74f7-491b-af11-6e5a6eef9304"/>
    <ds:schemaRef ds:uri="f9825e66-db47-40a0-8cbd-7d4ea8b3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Limbrick, Richard</dc:creator>
  <cp:keywords/>
  <dc:description/>
  <cp:lastModifiedBy>Jane Wylie</cp:lastModifiedBy>
  <cp:revision>6</cp:revision>
  <dcterms:created xsi:type="dcterms:W3CDTF">2023-04-12T09:32:00Z</dcterms:created>
  <dcterms:modified xsi:type="dcterms:W3CDTF">2023-06-21T11:55:00Z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0x010100EDF2F28A8B5B1B48B3D002D1B247A114</vt:lpwstr>
  </property>
</Properties>
</file>